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389705" w14:textId="77777777" w:rsidR="00A445FD" w:rsidRDefault="00A445FD" w:rsidP="007C0160">
      <w:pPr>
        <w:spacing w:line="480" w:lineRule="auto"/>
        <w:jc w:val="center"/>
        <w:rPr>
          <w:rFonts w:ascii="Times New Roman" w:hAnsi="Times New Roman" w:cs="Times New Roman"/>
          <w:b/>
          <w:sz w:val="24"/>
          <w:szCs w:val="24"/>
        </w:rPr>
      </w:pPr>
      <w:bookmarkStart w:id="0" w:name="_GoBack"/>
      <w:bookmarkEnd w:id="0"/>
    </w:p>
    <w:p w14:paraId="3F8EBE10" w14:textId="77777777" w:rsidR="00A445FD" w:rsidRDefault="00A445FD" w:rsidP="007C0160">
      <w:pPr>
        <w:spacing w:line="480" w:lineRule="auto"/>
        <w:jc w:val="center"/>
        <w:rPr>
          <w:rFonts w:ascii="Times New Roman" w:hAnsi="Times New Roman" w:cs="Times New Roman"/>
          <w:b/>
          <w:sz w:val="24"/>
          <w:szCs w:val="24"/>
        </w:rPr>
      </w:pPr>
    </w:p>
    <w:p w14:paraId="533010C3" w14:textId="42121B0F" w:rsidR="007C0160" w:rsidRDefault="007C0160" w:rsidP="007C016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Supplementary file for the systematic review of interventions for the concerned significant others of gamblers: Elaboration to synthesis </w:t>
      </w:r>
      <w:r w:rsidR="000C4651">
        <w:rPr>
          <w:rFonts w:ascii="Times New Roman" w:hAnsi="Times New Roman" w:cs="Times New Roman"/>
          <w:b/>
          <w:sz w:val="24"/>
          <w:szCs w:val="24"/>
        </w:rPr>
        <w:t>methodology</w:t>
      </w:r>
      <w:r w:rsidR="004F065D">
        <w:rPr>
          <w:rFonts w:ascii="Times New Roman" w:hAnsi="Times New Roman" w:cs="Times New Roman"/>
          <w:b/>
          <w:sz w:val="24"/>
          <w:szCs w:val="24"/>
        </w:rPr>
        <w:t xml:space="preserve"> &amp; results</w:t>
      </w:r>
    </w:p>
    <w:p w14:paraId="75FFD9C2" w14:textId="77777777" w:rsidR="007C0160" w:rsidRDefault="007C0160" w:rsidP="007C0160">
      <w:pPr>
        <w:spacing w:line="480" w:lineRule="auto"/>
        <w:jc w:val="center"/>
        <w:rPr>
          <w:rFonts w:ascii="Times New Roman" w:hAnsi="Times New Roman" w:cs="Times New Roman"/>
          <w:b/>
          <w:sz w:val="24"/>
          <w:szCs w:val="24"/>
        </w:rPr>
      </w:pPr>
    </w:p>
    <w:p w14:paraId="4F39905A" w14:textId="7BD665C1" w:rsidR="000C4651" w:rsidRDefault="007C0160" w:rsidP="000C4651">
      <w:pPr>
        <w:jc w:val="center"/>
        <w:rPr>
          <w:rFonts w:ascii="Times New Roman" w:hAnsi="Times New Roman" w:cs="Times New Roman"/>
          <w:b/>
          <w:sz w:val="24"/>
          <w:szCs w:val="24"/>
        </w:rPr>
      </w:pPr>
      <w:r>
        <w:rPr>
          <w:rFonts w:ascii="Times New Roman" w:hAnsi="Times New Roman" w:cs="Times New Roman"/>
          <w:b/>
          <w:sz w:val="24"/>
          <w:szCs w:val="24"/>
        </w:rPr>
        <w:t xml:space="preserve">Robert </w:t>
      </w:r>
      <w:proofErr w:type="spellStart"/>
      <w:r>
        <w:rPr>
          <w:rFonts w:ascii="Times New Roman" w:hAnsi="Times New Roman" w:cs="Times New Roman"/>
          <w:b/>
          <w:sz w:val="24"/>
          <w:szCs w:val="24"/>
        </w:rPr>
        <w:t>Edgren</w:t>
      </w:r>
      <w:proofErr w:type="spellEnd"/>
      <w:r w:rsidR="000C4651" w:rsidRPr="000C4651">
        <w:rPr>
          <w:rFonts w:ascii="Times New Roman" w:hAnsi="Times New Roman" w:cs="Times New Roman"/>
          <w:b/>
          <w:sz w:val="24"/>
          <w:szCs w:val="24"/>
        </w:rPr>
        <w:t xml:space="preserve"> </w:t>
      </w:r>
    </w:p>
    <w:p w14:paraId="6B0A8AA8" w14:textId="0E763E74" w:rsidR="000C4651" w:rsidRDefault="000C4651" w:rsidP="000C4651">
      <w:pPr>
        <w:jc w:val="center"/>
        <w:rPr>
          <w:rFonts w:ascii="Times New Roman" w:hAnsi="Times New Roman" w:cs="Times New Roman"/>
          <w:b/>
          <w:sz w:val="24"/>
          <w:szCs w:val="24"/>
        </w:rPr>
      </w:pPr>
    </w:p>
    <w:p w14:paraId="69469F83" w14:textId="55624758" w:rsidR="000C4651" w:rsidRDefault="000C4651" w:rsidP="000C4651">
      <w:pPr>
        <w:jc w:val="center"/>
        <w:rPr>
          <w:rFonts w:ascii="Times New Roman" w:hAnsi="Times New Roman" w:cs="Times New Roman"/>
          <w:b/>
          <w:sz w:val="24"/>
          <w:szCs w:val="24"/>
        </w:rPr>
      </w:pPr>
    </w:p>
    <w:p w14:paraId="3657E43E" w14:textId="64DC003A" w:rsidR="000C4651" w:rsidRDefault="000C4651" w:rsidP="000C4651">
      <w:pPr>
        <w:jc w:val="center"/>
        <w:rPr>
          <w:rFonts w:ascii="Times New Roman" w:hAnsi="Times New Roman" w:cs="Times New Roman"/>
          <w:b/>
          <w:sz w:val="24"/>
          <w:szCs w:val="24"/>
        </w:rPr>
      </w:pPr>
    </w:p>
    <w:p w14:paraId="6701ABE0" w14:textId="462BA56A" w:rsidR="000C4651" w:rsidRDefault="000C4651" w:rsidP="000C4651">
      <w:pPr>
        <w:jc w:val="center"/>
        <w:rPr>
          <w:rFonts w:ascii="Times New Roman" w:hAnsi="Times New Roman" w:cs="Times New Roman"/>
          <w:b/>
          <w:sz w:val="24"/>
          <w:szCs w:val="24"/>
        </w:rPr>
      </w:pPr>
    </w:p>
    <w:p w14:paraId="1375A2B6" w14:textId="22EFD35F" w:rsidR="000C4651" w:rsidRDefault="000C4651" w:rsidP="000C4651">
      <w:pPr>
        <w:jc w:val="center"/>
        <w:rPr>
          <w:rFonts w:ascii="Times New Roman" w:hAnsi="Times New Roman" w:cs="Times New Roman"/>
          <w:b/>
          <w:sz w:val="24"/>
          <w:szCs w:val="24"/>
        </w:rPr>
      </w:pPr>
    </w:p>
    <w:p w14:paraId="658CA047" w14:textId="5EEDA98B" w:rsidR="000C4651" w:rsidRDefault="000C4651" w:rsidP="000C4651">
      <w:pPr>
        <w:jc w:val="center"/>
        <w:rPr>
          <w:rFonts w:ascii="Times New Roman" w:hAnsi="Times New Roman" w:cs="Times New Roman"/>
          <w:b/>
          <w:sz w:val="24"/>
          <w:szCs w:val="24"/>
        </w:rPr>
      </w:pPr>
    </w:p>
    <w:p w14:paraId="7CB96A1A" w14:textId="632EC5E9" w:rsidR="000C4651" w:rsidRDefault="000C4651" w:rsidP="004F065D">
      <w:pPr>
        <w:rPr>
          <w:rFonts w:ascii="Times New Roman" w:hAnsi="Times New Roman" w:cs="Times New Roman"/>
          <w:b/>
          <w:sz w:val="24"/>
          <w:szCs w:val="24"/>
        </w:rPr>
      </w:pPr>
    </w:p>
    <w:p w14:paraId="5839137D" w14:textId="7FE64C5B" w:rsidR="000C4651" w:rsidRDefault="000C4651" w:rsidP="00A445FD">
      <w:pPr>
        <w:rPr>
          <w:rFonts w:ascii="Times New Roman" w:hAnsi="Times New Roman" w:cs="Times New Roman"/>
          <w:b/>
          <w:sz w:val="24"/>
          <w:szCs w:val="24"/>
        </w:rPr>
      </w:pPr>
    </w:p>
    <w:p w14:paraId="3A4257E6" w14:textId="1E32D7A4" w:rsidR="000C4651" w:rsidRDefault="000C4651" w:rsidP="000C4651">
      <w:pPr>
        <w:jc w:val="center"/>
        <w:rPr>
          <w:rFonts w:ascii="Times New Roman" w:hAnsi="Times New Roman" w:cs="Times New Roman"/>
          <w:b/>
          <w:sz w:val="24"/>
          <w:szCs w:val="24"/>
        </w:rPr>
      </w:pPr>
    </w:p>
    <w:p w14:paraId="1F877430" w14:textId="77777777" w:rsidR="000C4651" w:rsidRPr="000C4651" w:rsidRDefault="000C4651" w:rsidP="000C4651">
      <w:pPr>
        <w:jc w:val="center"/>
        <w:rPr>
          <w:rFonts w:ascii="Times New Roman" w:hAnsi="Times New Roman" w:cs="Times New Roman"/>
          <w:b/>
          <w:sz w:val="24"/>
          <w:szCs w:val="24"/>
        </w:rPr>
      </w:pPr>
    </w:p>
    <w:sdt>
      <w:sdtPr>
        <w:rPr>
          <w:rFonts w:asciiTheme="minorHAnsi" w:eastAsiaTheme="minorHAnsi" w:hAnsiTheme="minorHAnsi" w:cstheme="minorBidi"/>
          <w:color w:val="auto"/>
          <w:sz w:val="22"/>
          <w:szCs w:val="22"/>
        </w:rPr>
        <w:id w:val="1925444062"/>
        <w:docPartObj>
          <w:docPartGallery w:val="Table of Contents"/>
          <w:docPartUnique/>
        </w:docPartObj>
      </w:sdtPr>
      <w:sdtEndPr>
        <w:rPr>
          <w:b/>
          <w:bCs/>
          <w:noProof/>
        </w:rPr>
      </w:sdtEndPr>
      <w:sdtContent>
        <w:p w14:paraId="6E63B165" w14:textId="77777777" w:rsidR="000C4651" w:rsidRDefault="000C4651" w:rsidP="000C4651">
          <w:pPr>
            <w:pStyle w:val="TOCHeading"/>
          </w:pPr>
          <w:r>
            <w:t>Contents</w:t>
          </w:r>
        </w:p>
        <w:p w14:paraId="19FC024C" w14:textId="11E747D3" w:rsidR="004F065D" w:rsidRDefault="000C4651">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77951139" w:history="1">
            <w:r w:rsidR="004F065D" w:rsidRPr="004F065D">
              <w:rPr>
                <w:rStyle w:val="Hyperlink"/>
                <w:b/>
                <w:noProof/>
              </w:rPr>
              <w:t>Intervention content checklist</w:t>
            </w:r>
            <w:r w:rsidR="004F065D">
              <w:rPr>
                <w:noProof/>
                <w:webHidden/>
              </w:rPr>
              <w:tab/>
            </w:r>
            <w:r w:rsidR="004F065D">
              <w:rPr>
                <w:noProof/>
                <w:webHidden/>
              </w:rPr>
              <w:fldChar w:fldCharType="begin"/>
            </w:r>
            <w:r w:rsidR="004F065D">
              <w:rPr>
                <w:noProof/>
                <w:webHidden/>
              </w:rPr>
              <w:instrText xml:space="preserve"> PAGEREF _Toc77951139 \h </w:instrText>
            </w:r>
            <w:r w:rsidR="004F065D">
              <w:rPr>
                <w:noProof/>
                <w:webHidden/>
              </w:rPr>
            </w:r>
            <w:r w:rsidR="004F065D">
              <w:rPr>
                <w:noProof/>
                <w:webHidden/>
              </w:rPr>
              <w:fldChar w:fldCharType="separate"/>
            </w:r>
            <w:r w:rsidR="00B35DD4">
              <w:rPr>
                <w:noProof/>
                <w:webHidden/>
              </w:rPr>
              <w:t>2</w:t>
            </w:r>
            <w:r w:rsidR="004F065D">
              <w:rPr>
                <w:noProof/>
                <w:webHidden/>
              </w:rPr>
              <w:fldChar w:fldCharType="end"/>
            </w:r>
          </w:hyperlink>
        </w:p>
        <w:p w14:paraId="73F0E8C2" w14:textId="63951936" w:rsidR="004F065D" w:rsidRDefault="00B35DD4">
          <w:pPr>
            <w:pStyle w:val="TOC2"/>
            <w:tabs>
              <w:tab w:val="right" w:leader="dot" w:pos="9350"/>
            </w:tabs>
            <w:rPr>
              <w:rFonts w:eastAsiaTheme="minorEastAsia"/>
              <w:noProof/>
            </w:rPr>
          </w:pPr>
          <w:hyperlink w:anchor="_Toc77951140" w:history="1">
            <w:r w:rsidR="004F065D" w:rsidRPr="00D24961">
              <w:rPr>
                <w:rStyle w:val="Hyperlink"/>
                <w:rFonts w:ascii="Times New Roman" w:hAnsi="Times New Roman" w:cs="Times New Roman"/>
                <w:noProof/>
              </w:rPr>
              <w:t>Development of the Intervention Content checklist</w:t>
            </w:r>
            <w:r w:rsidR="004F065D">
              <w:rPr>
                <w:noProof/>
                <w:webHidden/>
              </w:rPr>
              <w:tab/>
            </w:r>
            <w:r w:rsidR="004F065D">
              <w:rPr>
                <w:noProof/>
                <w:webHidden/>
              </w:rPr>
              <w:fldChar w:fldCharType="begin"/>
            </w:r>
            <w:r w:rsidR="004F065D">
              <w:rPr>
                <w:noProof/>
                <w:webHidden/>
              </w:rPr>
              <w:instrText xml:space="preserve"> PAGEREF _Toc77951140 \h </w:instrText>
            </w:r>
            <w:r w:rsidR="004F065D">
              <w:rPr>
                <w:noProof/>
                <w:webHidden/>
              </w:rPr>
            </w:r>
            <w:r w:rsidR="004F065D">
              <w:rPr>
                <w:noProof/>
                <w:webHidden/>
              </w:rPr>
              <w:fldChar w:fldCharType="separate"/>
            </w:r>
            <w:r>
              <w:rPr>
                <w:noProof/>
                <w:webHidden/>
              </w:rPr>
              <w:t>2</w:t>
            </w:r>
            <w:r w:rsidR="004F065D">
              <w:rPr>
                <w:noProof/>
                <w:webHidden/>
              </w:rPr>
              <w:fldChar w:fldCharType="end"/>
            </w:r>
          </w:hyperlink>
        </w:p>
        <w:p w14:paraId="7C1E61CB" w14:textId="79B4B4C6" w:rsidR="004F065D" w:rsidRDefault="00B35DD4">
          <w:pPr>
            <w:pStyle w:val="TOC2"/>
            <w:tabs>
              <w:tab w:val="right" w:leader="dot" w:pos="9350"/>
            </w:tabs>
            <w:rPr>
              <w:rFonts w:eastAsiaTheme="minorEastAsia"/>
              <w:noProof/>
            </w:rPr>
          </w:pPr>
          <w:hyperlink w:anchor="_Toc77951141" w:history="1">
            <w:r w:rsidR="004F065D" w:rsidRPr="00D24961">
              <w:rPr>
                <w:rStyle w:val="Hyperlink"/>
                <w:rFonts w:ascii="Times New Roman" w:hAnsi="Times New Roman" w:cs="Times New Roman"/>
                <w:noProof/>
              </w:rPr>
              <w:t>Intervention Content Checklist Elaboration</w:t>
            </w:r>
            <w:r w:rsidR="004F065D">
              <w:rPr>
                <w:noProof/>
                <w:webHidden/>
              </w:rPr>
              <w:tab/>
            </w:r>
            <w:r w:rsidR="004F065D">
              <w:rPr>
                <w:noProof/>
                <w:webHidden/>
              </w:rPr>
              <w:fldChar w:fldCharType="begin"/>
            </w:r>
            <w:r w:rsidR="004F065D">
              <w:rPr>
                <w:noProof/>
                <w:webHidden/>
              </w:rPr>
              <w:instrText xml:space="preserve"> PAGEREF _Toc77951141 \h </w:instrText>
            </w:r>
            <w:r w:rsidR="004F065D">
              <w:rPr>
                <w:noProof/>
                <w:webHidden/>
              </w:rPr>
            </w:r>
            <w:r w:rsidR="004F065D">
              <w:rPr>
                <w:noProof/>
                <w:webHidden/>
              </w:rPr>
              <w:fldChar w:fldCharType="separate"/>
            </w:r>
            <w:r>
              <w:rPr>
                <w:noProof/>
                <w:webHidden/>
              </w:rPr>
              <w:t>3</w:t>
            </w:r>
            <w:r w:rsidR="004F065D">
              <w:rPr>
                <w:noProof/>
                <w:webHidden/>
              </w:rPr>
              <w:fldChar w:fldCharType="end"/>
            </w:r>
          </w:hyperlink>
        </w:p>
        <w:p w14:paraId="349AAABF" w14:textId="1227C261" w:rsidR="004F065D" w:rsidRDefault="00B35DD4">
          <w:pPr>
            <w:pStyle w:val="TOC1"/>
            <w:tabs>
              <w:tab w:val="right" w:leader="dot" w:pos="9350"/>
            </w:tabs>
            <w:rPr>
              <w:rFonts w:eastAsiaTheme="minorEastAsia"/>
              <w:noProof/>
            </w:rPr>
          </w:pPr>
          <w:hyperlink w:anchor="_Toc77951142" w:history="1">
            <w:r w:rsidR="004F065D" w:rsidRPr="00D24961">
              <w:rPr>
                <w:rStyle w:val="Hyperlink"/>
                <w:rFonts w:ascii="Times New Roman" w:hAnsi="Times New Roman" w:cs="Times New Roman"/>
                <w:b/>
                <w:noProof/>
              </w:rPr>
              <w:t>Quantitative synthesis</w:t>
            </w:r>
            <w:r w:rsidR="004F065D">
              <w:rPr>
                <w:noProof/>
                <w:webHidden/>
              </w:rPr>
              <w:tab/>
            </w:r>
            <w:r w:rsidR="004F065D">
              <w:rPr>
                <w:noProof/>
                <w:webHidden/>
              </w:rPr>
              <w:fldChar w:fldCharType="begin"/>
            </w:r>
            <w:r w:rsidR="004F065D">
              <w:rPr>
                <w:noProof/>
                <w:webHidden/>
              </w:rPr>
              <w:instrText xml:space="preserve"> PAGEREF _Toc77951142 \h </w:instrText>
            </w:r>
            <w:r w:rsidR="004F065D">
              <w:rPr>
                <w:noProof/>
                <w:webHidden/>
              </w:rPr>
            </w:r>
            <w:r w:rsidR="004F065D">
              <w:rPr>
                <w:noProof/>
                <w:webHidden/>
              </w:rPr>
              <w:fldChar w:fldCharType="separate"/>
            </w:r>
            <w:r>
              <w:rPr>
                <w:noProof/>
                <w:webHidden/>
              </w:rPr>
              <w:t>6</w:t>
            </w:r>
            <w:r w:rsidR="004F065D">
              <w:rPr>
                <w:noProof/>
                <w:webHidden/>
              </w:rPr>
              <w:fldChar w:fldCharType="end"/>
            </w:r>
          </w:hyperlink>
        </w:p>
        <w:p w14:paraId="2C9540EC" w14:textId="58A8792D" w:rsidR="004F065D" w:rsidRDefault="00B35DD4">
          <w:pPr>
            <w:pStyle w:val="TOC2"/>
            <w:tabs>
              <w:tab w:val="right" w:leader="dot" w:pos="9350"/>
            </w:tabs>
            <w:rPr>
              <w:rFonts w:eastAsiaTheme="minorEastAsia"/>
              <w:noProof/>
            </w:rPr>
          </w:pPr>
          <w:hyperlink w:anchor="_Toc77951143" w:history="1">
            <w:r w:rsidR="004F065D" w:rsidRPr="00D24961">
              <w:rPr>
                <w:rStyle w:val="Hyperlink"/>
                <w:rFonts w:ascii="Times New Roman" w:hAnsi="Times New Roman" w:cs="Times New Roman"/>
                <w:noProof/>
              </w:rPr>
              <w:t>Procedure</w:t>
            </w:r>
            <w:r w:rsidR="004F065D">
              <w:rPr>
                <w:noProof/>
                <w:webHidden/>
              </w:rPr>
              <w:tab/>
            </w:r>
            <w:r w:rsidR="004F065D">
              <w:rPr>
                <w:noProof/>
                <w:webHidden/>
              </w:rPr>
              <w:fldChar w:fldCharType="begin"/>
            </w:r>
            <w:r w:rsidR="004F065D">
              <w:rPr>
                <w:noProof/>
                <w:webHidden/>
              </w:rPr>
              <w:instrText xml:space="preserve"> PAGEREF _Toc77951143 \h </w:instrText>
            </w:r>
            <w:r w:rsidR="004F065D">
              <w:rPr>
                <w:noProof/>
                <w:webHidden/>
              </w:rPr>
            </w:r>
            <w:r w:rsidR="004F065D">
              <w:rPr>
                <w:noProof/>
                <w:webHidden/>
              </w:rPr>
              <w:fldChar w:fldCharType="separate"/>
            </w:r>
            <w:r>
              <w:rPr>
                <w:noProof/>
                <w:webHidden/>
              </w:rPr>
              <w:t>6</w:t>
            </w:r>
            <w:r w:rsidR="004F065D">
              <w:rPr>
                <w:noProof/>
                <w:webHidden/>
              </w:rPr>
              <w:fldChar w:fldCharType="end"/>
            </w:r>
          </w:hyperlink>
        </w:p>
        <w:p w14:paraId="74E867E9" w14:textId="2157F9D7" w:rsidR="004F065D" w:rsidRDefault="00B35DD4">
          <w:pPr>
            <w:pStyle w:val="TOC2"/>
            <w:tabs>
              <w:tab w:val="right" w:leader="dot" w:pos="9350"/>
            </w:tabs>
            <w:rPr>
              <w:rFonts w:eastAsiaTheme="minorEastAsia"/>
              <w:noProof/>
            </w:rPr>
          </w:pPr>
          <w:hyperlink w:anchor="_Toc77951144" w:history="1">
            <w:r w:rsidR="004F065D" w:rsidRPr="00D24961">
              <w:rPr>
                <w:rStyle w:val="Hyperlink"/>
                <w:rFonts w:ascii="Times New Roman" w:hAnsi="Times New Roman" w:cs="Times New Roman"/>
                <w:noProof/>
              </w:rPr>
              <w:t>Formulae</w:t>
            </w:r>
            <w:r w:rsidR="004F065D">
              <w:rPr>
                <w:noProof/>
                <w:webHidden/>
              </w:rPr>
              <w:tab/>
            </w:r>
            <w:r w:rsidR="004F065D">
              <w:rPr>
                <w:noProof/>
                <w:webHidden/>
              </w:rPr>
              <w:fldChar w:fldCharType="begin"/>
            </w:r>
            <w:r w:rsidR="004F065D">
              <w:rPr>
                <w:noProof/>
                <w:webHidden/>
              </w:rPr>
              <w:instrText xml:space="preserve"> PAGEREF _Toc77951144 \h </w:instrText>
            </w:r>
            <w:r w:rsidR="004F065D">
              <w:rPr>
                <w:noProof/>
                <w:webHidden/>
              </w:rPr>
            </w:r>
            <w:r w:rsidR="004F065D">
              <w:rPr>
                <w:noProof/>
                <w:webHidden/>
              </w:rPr>
              <w:fldChar w:fldCharType="separate"/>
            </w:r>
            <w:r>
              <w:rPr>
                <w:noProof/>
                <w:webHidden/>
              </w:rPr>
              <w:t>7</w:t>
            </w:r>
            <w:r w:rsidR="004F065D">
              <w:rPr>
                <w:noProof/>
                <w:webHidden/>
              </w:rPr>
              <w:fldChar w:fldCharType="end"/>
            </w:r>
          </w:hyperlink>
        </w:p>
        <w:p w14:paraId="12E74F1B" w14:textId="103D8346" w:rsidR="004F065D" w:rsidRDefault="00B35DD4">
          <w:pPr>
            <w:pStyle w:val="TOC1"/>
            <w:tabs>
              <w:tab w:val="right" w:leader="dot" w:pos="9350"/>
            </w:tabs>
            <w:rPr>
              <w:rFonts w:eastAsiaTheme="minorEastAsia"/>
              <w:noProof/>
            </w:rPr>
          </w:pPr>
          <w:hyperlink w:anchor="_Toc77951145" w:history="1">
            <w:r w:rsidR="004F065D" w:rsidRPr="00D24961">
              <w:rPr>
                <w:rStyle w:val="Hyperlink"/>
                <w:rFonts w:ascii="Times New Roman" w:hAnsi="Times New Roman" w:cs="Times New Roman"/>
                <w:b/>
                <w:noProof/>
              </w:rPr>
              <w:t>Qualitative synthesis</w:t>
            </w:r>
            <w:r w:rsidR="004F065D">
              <w:rPr>
                <w:noProof/>
                <w:webHidden/>
              </w:rPr>
              <w:tab/>
            </w:r>
            <w:r w:rsidR="004F065D">
              <w:rPr>
                <w:noProof/>
                <w:webHidden/>
              </w:rPr>
              <w:fldChar w:fldCharType="begin"/>
            </w:r>
            <w:r w:rsidR="004F065D">
              <w:rPr>
                <w:noProof/>
                <w:webHidden/>
              </w:rPr>
              <w:instrText xml:space="preserve"> PAGEREF _Toc77951145 \h </w:instrText>
            </w:r>
            <w:r w:rsidR="004F065D">
              <w:rPr>
                <w:noProof/>
                <w:webHidden/>
              </w:rPr>
            </w:r>
            <w:r w:rsidR="004F065D">
              <w:rPr>
                <w:noProof/>
                <w:webHidden/>
              </w:rPr>
              <w:fldChar w:fldCharType="separate"/>
            </w:r>
            <w:r>
              <w:rPr>
                <w:noProof/>
                <w:webHidden/>
              </w:rPr>
              <w:t>9</w:t>
            </w:r>
            <w:r w:rsidR="004F065D">
              <w:rPr>
                <w:noProof/>
                <w:webHidden/>
              </w:rPr>
              <w:fldChar w:fldCharType="end"/>
            </w:r>
          </w:hyperlink>
        </w:p>
        <w:p w14:paraId="4ED28338" w14:textId="4C822CA6" w:rsidR="004F065D" w:rsidRDefault="00B35DD4">
          <w:pPr>
            <w:pStyle w:val="TOC2"/>
            <w:tabs>
              <w:tab w:val="right" w:leader="dot" w:pos="9350"/>
            </w:tabs>
            <w:rPr>
              <w:rFonts w:eastAsiaTheme="minorEastAsia"/>
              <w:noProof/>
            </w:rPr>
          </w:pPr>
          <w:hyperlink w:anchor="_Toc77951146" w:history="1">
            <w:r w:rsidR="004F065D" w:rsidRPr="00D24961">
              <w:rPr>
                <w:rStyle w:val="Hyperlink"/>
                <w:noProof/>
              </w:rPr>
              <w:t>Qualitative synthesis results elaborated</w:t>
            </w:r>
            <w:r w:rsidR="004F065D">
              <w:rPr>
                <w:noProof/>
                <w:webHidden/>
              </w:rPr>
              <w:tab/>
            </w:r>
            <w:r w:rsidR="004F065D">
              <w:rPr>
                <w:noProof/>
                <w:webHidden/>
              </w:rPr>
              <w:fldChar w:fldCharType="begin"/>
            </w:r>
            <w:r w:rsidR="004F065D">
              <w:rPr>
                <w:noProof/>
                <w:webHidden/>
              </w:rPr>
              <w:instrText xml:space="preserve"> PAGEREF _Toc77951146 \h </w:instrText>
            </w:r>
            <w:r w:rsidR="004F065D">
              <w:rPr>
                <w:noProof/>
                <w:webHidden/>
              </w:rPr>
            </w:r>
            <w:r w:rsidR="004F065D">
              <w:rPr>
                <w:noProof/>
                <w:webHidden/>
              </w:rPr>
              <w:fldChar w:fldCharType="separate"/>
            </w:r>
            <w:r>
              <w:rPr>
                <w:noProof/>
                <w:webHidden/>
              </w:rPr>
              <w:t>9</w:t>
            </w:r>
            <w:r w:rsidR="004F065D">
              <w:rPr>
                <w:noProof/>
                <w:webHidden/>
              </w:rPr>
              <w:fldChar w:fldCharType="end"/>
            </w:r>
          </w:hyperlink>
        </w:p>
        <w:p w14:paraId="05E0E1C4" w14:textId="7B62D7C1" w:rsidR="00A445FD" w:rsidRDefault="000C4651" w:rsidP="00A445FD">
          <w:pPr>
            <w:jc w:val="center"/>
            <w:rPr>
              <w:b/>
              <w:bCs/>
              <w:noProof/>
            </w:rPr>
          </w:pPr>
          <w:r>
            <w:rPr>
              <w:b/>
              <w:bCs/>
              <w:noProof/>
            </w:rPr>
            <w:fldChar w:fldCharType="end"/>
          </w:r>
        </w:p>
      </w:sdtContent>
    </w:sdt>
    <w:p w14:paraId="699673C6" w14:textId="34024E3B" w:rsidR="000C4651" w:rsidRPr="00A445FD" w:rsidRDefault="000C4651" w:rsidP="00A445FD">
      <w:pPr>
        <w:pStyle w:val="Heading1"/>
        <w:rPr>
          <w:rFonts w:asciiTheme="minorHAnsi" w:hAnsiTheme="minorHAnsi" w:cstheme="minorBidi"/>
          <w:bCs/>
          <w:noProof/>
          <w:sz w:val="22"/>
          <w:szCs w:val="22"/>
        </w:rPr>
      </w:pPr>
      <w:bookmarkStart w:id="1" w:name="_Toc77951139"/>
      <w:r w:rsidRPr="000C4651">
        <w:lastRenderedPageBreak/>
        <w:t>Intervention content checklist</w:t>
      </w:r>
      <w:bookmarkEnd w:id="1"/>
    </w:p>
    <w:p w14:paraId="40B58D9B" w14:textId="15DCE05A" w:rsidR="00B87FD9" w:rsidRPr="000C4651" w:rsidRDefault="00B87FD9" w:rsidP="000C4651">
      <w:pPr>
        <w:pStyle w:val="Heading2"/>
        <w:rPr>
          <w:rFonts w:ascii="Times New Roman" w:hAnsi="Times New Roman" w:cs="Times New Roman"/>
          <w:sz w:val="24"/>
          <w:szCs w:val="24"/>
        </w:rPr>
      </w:pPr>
      <w:bookmarkStart w:id="2" w:name="_Toc77951140"/>
      <w:r w:rsidRPr="000C4651">
        <w:rPr>
          <w:rFonts w:ascii="Times New Roman" w:hAnsi="Times New Roman" w:cs="Times New Roman"/>
          <w:sz w:val="24"/>
          <w:szCs w:val="24"/>
        </w:rPr>
        <w:t>Development of the</w:t>
      </w:r>
      <w:r w:rsidR="000C4651" w:rsidRPr="000C4651">
        <w:rPr>
          <w:rFonts w:ascii="Times New Roman" w:hAnsi="Times New Roman" w:cs="Times New Roman"/>
          <w:sz w:val="24"/>
          <w:szCs w:val="24"/>
        </w:rPr>
        <w:t xml:space="preserve"> Intervention Content checklist</w:t>
      </w:r>
      <w:bookmarkEnd w:id="2"/>
    </w:p>
    <w:p w14:paraId="5597AA3F" w14:textId="77777777" w:rsidR="000C4651" w:rsidRDefault="000C4651">
      <w:pPr>
        <w:rPr>
          <w:rFonts w:ascii="Times New Roman" w:hAnsi="Times New Roman" w:cs="Times New Roman"/>
          <w:sz w:val="24"/>
          <w:szCs w:val="24"/>
        </w:rPr>
      </w:pPr>
    </w:p>
    <w:p w14:paraId="10063853" w14:textId="77777777" w:rsidR="00B87FD9" w:rsidRPr="00EF79C2" w:rsidRDefault="00B87FD9" w:rsidP="00B87FD9">
      <w:pPr>
        <w:spacing w:line="480" w:lineRule="auto"/>
        <w:rPr>
          <w:rFonts w:ascii="Times New Roman" w:hAnsi="Times New Roman" w:cs="Times New Roman"/>
          <w:sz w:val="24"/>
          <w:szCs w:val="24"/>
        </w:rPr>
      </w:pPr>
      <w:r w:rsidRPr="00EF79C2">
        <w:rPr>
          <w:rFonts w:ascii="Times New Roman" w:hAnsi="Times New Roman" w:cs="Times New Roman"/>
          <w:sz w:val="24"/>
          <w:szCs w:val="24"/>
        </w:rPr>
        <w:t xml:space="preserve">The content from interventions utilized in the included studies were initially extracted by one </w:t>
      </w:r>
      <w:r>
        <w:rPr>
          <w:rFonts w:ascii="Times New Roman" w:hAnsi="Times New Roman" w:cs="Times New Roman"/>
          <w:sz w:val="24"/>
          <w:szCs w:val="24"/>
        </w:rPr>
        <w:t>author (R.E.)</w:t>
      </w:r>
      <w:r w:rsidRPr="00EF79C2">
        <w:rPr>
          <w:rFonts w:ascii="Times New Roman" w:hAnsi="Times New Roman" w:cs="Times New Roman"/>
          <w:sz w:val="24"/>
          <w:szCs w:val="24"/>
        </w:rPr>
        <w:t>. The terms used to describe content in research papers were tabulated and organized according to the three SSCS model’s concepts</w:t>
      </w:r>
      <w:r>
        <w:rPr>
          <w:rFonts w:ascii="Times New Roman" w:hAnsi="Times New Roman" w:cs="Times New Roman"/>
          <w:sz w:val="24"/>
          <w:szCs w:val="24"/>
        </w:rPr>
        <w:t xml:space="preserve"> information and understanding,</w:t>
      </w:r>
      <w:r w:rsidRPr="000A58B0">
        <w:rPr>
          <w:rFonts w:ascii="Times New Roman" w:hAnsi="Times New Roman" w:cs="Times New Roman"/>
          <w:sz w:val="24"/>
          <w:szCs w:val="24"/>
        </w:rPr>
        <w:t xml:space="preserve"> </w:t>
      </w:r>
      <w:r>
        <w:rPr>
          <w:rFonts w:ascii="Times New Roman" w:hAnsi="Times New Roman" w:cs="Times New Roman"/>
          <w:sz w:val="24"/>
          <w:szCs w:val="24"/>
        </w:rPr>
        <w:t xml:space="preserve">coping skills, and social support. </w:t>
      </w:r>
      <w:r w:rsidRPr="00EF79C2">
        <w:rPr>
          <w:rFonts w:ascii="Times New Roman" w:hAnsi="Times New Roman" w:cs="Times New Roman"/>
          <w:sz w:val="24"/>
          <w:szCs w:val="24"/>
        </w:rPr>
        <w:t xml:space="preserve">During this extraction process a </w:t>
      </w:r>
      <w:r>
        <w:rPr>
          <w:rFonts w:ascii="Times New Roman" w:hAnsi="Times New Roman" w:cs="Times New Roman"/>
          <w:sz w:val="24"/>
          <w:szCs w:val="24"/>
        </w:rPr>
        <w:t>new</w:t>
      </w:r>
      <w:r w:rsidRPr="00EF79C2">
        <w:rPr>
          <w:rFonts w:ascii="Times New Roman" w:hAnsi="Times New Roman" w:cs="Times New Roman"/>
          <w:sz w:val="24"/>
          <w:szCs w:val="24"/>
        </w:rPr>
        <w:t xml:space="preserve"> category for communication skills was created, because this theme was central to interventions. An additional “Other” category was used for intervention content that did not fit into previously defined categories. Subsequently the list of intervention content items was condensed by merging terms referring to the same concepts (e.g. positive reinforcement and reinforcing non-gambling behavior) and creating superordi</w:t>
      </w:r>
      <w:r>
        <w:rPr>
          <w:rFonts w:ascii="Times New Roman" w:hAnsi="Times New Roman" w:cs="Times New Roman"/>
          <w:sz w:val="24"/>
          <w:szCs w:val="24"/>
        </w:rPr>
        <w:t xml:space="preserve">nate concepts </w:t>
      </w:r>
      <w:r w:rsidRPr="00EF79C2">
        <w:rPr>
          <w:rFonts w:ascii="Times New Roman" w:hAnsi="Times New Roman" w:cs="Times New Roman"/>
          <w:sz w:val="24"/>
          <w:szCs w:val="24"/>
        </w:rPr>
        <w:t>where appropriate (e.g. “Additional psychoeducation” referring to several forms of psychoeducation other than content directly related to gambling and problem gambling).</w:t>
      </w:r>
    </w:p>
    <w:p w14:paraId="10CA2FF7" w14:textId="5D193528" w:rsidR="009704B7" w:rsidRDefault="00B87FD9" w:rsidP="00F427FF">
      <w:pPr>
        <w:spacing w:line="480" w:lineRule="auto"/>
        <w:rPr>
          <w:rFonts w:ascii="Times New Roman" w:hAnsi="Times New Roman" w:cs="Times New Roman"/>
          <w:sz w:val="24"/>
          <w:szCs w:val="24"/>
        </w:rPr>
      </w:pPr>
      <w:r w:rsidRPr="00EF79C2">
        <w:rPr>
          <w:rFonts w:ascii="Times New Roman" w:hAnsi="Times New Roman" w:cs="Times New Roman"/>
          <w:sz w:val="24"/>
          <w:szCs w:val="24"/>
        </w:rPr>
        <w:t xml:space="preserve">The intervention content checklist created was then utilized to </w:t>
      </w:r>
      <w:r>
        <w:rPr>
          <w:rFonts w:ascii="Times New Roman" w:hAnsi="Times New Roman" w:cs="Times New Roman"/>
          <w:sz w:val="24"/>
          <w:szCs w:val="24"/>
        </w:rPr>
        <w:t>record</w:t>
      </w:r>
      <w:r w:rsidRPr="00EF79C2">
        <w:rPr>
          <w:rFonts w:ascii="Times New Roman" w:hAnsi="Times New Roman" w:cs="Times New Roman"/>
          <w:sz w:val="24"/>
          <w:szCs w:val="24"/>
        </w:rPr>
        <w:t xml:space="preserve"> intervention content (present or not) across the various interventions included in the review. A second </w:t>
      </w:r>
      <w:r>
        <w:rPr>
          <w:rFonts w:ascii="Times New Roman" w:hAnsi="Times New Roman" w:cs="Times New Roman"/>
          <w:sz w:val="24"/>
          <w:szCs w:val="24"/>
        </w:rPr>
        <w:t xml:space="preserve">author (S.C.) </w:t>
      </w:r>
      <w:r w:rsidRPr="00EF79C2">
        <w:rPr>
          <w:rFonts w:ascii="Times New Roman" w:hAnsi="Times New Roman" w:cs="Times New Roman"/>
          <w:sz w:val="24"/>
          <w:szCs w:val="24"/>
        </w:rPr>
        <w:t>independently used the content checklist for over 50% (5/9) of interventions assessed. The ini</w:t>
      </w:r>
      <w:r>
        <w:rPr>
          <w:rFonts w:ascii="Times New Roman" w:hAnsi="Times New Roman" w:cs="Times New Roman"/>
          <w:sz w:val="24"/>
          <w:szCs w:val="24"/>
        </w:rPr>
        <w:t>tial interrater agreement was 78</w:t>
      </w:r>
      <w:r w:rsidRPr="00EF79C2">
        <w:rPr>
          <w:rFonts w:ascii="Times New Roman" w:hAnsi="Times New Roman" w:cs="Times New Roman"/>
          <w:sz w:val="24"/>
          <w:szCs w:val="24"/>
        </w:rPr>
        <w:t xml:space="preserve">%. Disagreements were resolved by discussion. Based on </w:t>
      </w:r>
      <w:r>
        <w:rPr>
          <w:rFonts w:ascii="Times New Roman" w:hAnsi="Times New Roman" w:cs="Times New Roman"/>
          <w:sz w:val="24"/>
          <w:szCs w:val="24"/>
        </w:rPr>
        <w:t xml:space="preserve">these </w:t>
      </w:r>
      <w:r w:rsidRPr="00EF79C2">
        <w:rPr>
          <w:rFonts w:ascii="Times New Roman" w:hAnsi="Times New Roman" w:cs="Times New Roman"/>
          <w:sz w:val="24"/>
          <w:szCs w:val="24"/>
        </w:rPr>
        <w:t xml:space="preserve">discussions, minor </w:t>
      </w:r>
      <w:r>
        <w:rPr>
          <w:rFonts w:ascii="Times New Roman" w:hAnsi="Times New Roman" w:cs="Times New Roman"/>
          <w:sz w:val="24"/>
          <w:szCs w:val="24"/>
        </w:rPr>
        <w:t>additions</w:t>
      </w:r>
      <w:r w:rsidRPr="00EF79C2">
        <w:rPr>
          <w:rFonts w:ascii="Times New Roman" w:hAnsi="Times New Roman" w:cs="Times New Roman"/>
          <w:sz w:val="24"/>
          <w:szCs w:val="24"/>
        </w:rPr>
        <w:t xml:space="preserve"> were made to</w:t>
      </w:r>
      <w:r>
        <w:rPr>
          <w:rFonts w:ascii="Times New Roman" w:hAnsi="Times New Roman" w:cs="Times New Roman"/>
          <w:sz w:val="24"/>
          <w:szCs w:val="24"/>
        </w:rPr>
        <w:t xml:space="preserve"> the checklist item definitions. Subsequently </w:t>
      </w:r>
      <w:r w:rsidRPr="003841EA">
        <w:rPr>
          <w:rFonts w:ascii="Times New Roman" w:hAnsi="Times New Roman" w:cs="Times New Roman"/>
          <w:sz w:val="24"/>
          <w:szCs w:val="24"/>
        </w:rPr>
        <w:t>two</w:t>
      </w:r>
      <w:r>
        <w:rPr>
          <w:rFonts w:ascii="Times New Roman" w:hAnsi="Times New Roman" w:cs="Times New Roman"/>
          <w:sz w:val="24"/>
          <w:szCs w:val="24"/>
        </w:rPr>
        <w:t xml:space="preserve"> amendments on checklist answers were made for interventions reviewed by only one author.</w:t>
      </w:r>
    </w:p>
    <w:p w14:paraId="2B193253" w14:textId="710E45FA" w:rsidR="00F427FF" w:rsidRDefault="00F427FF" w:rsidP="00F427FF">
      <w:pPr>
        <w:spacing w:line="480" w:lineRule="auto"/>
        <w:rPr>
          <w:rFonts w:ascii="Times New Roman" w:hAnsi="Times New Roman" w:cs="Times New Roman"/>
          <w:sz w:val="24"/>
          <w:szCs w:val="24"/>
        </w:rPr>
      </w:pPr>
    </w:p>
    <w:p w14:paraId="4B9F6FBF" w14:textId="3E8EC9D4" w:rsidR="00F427FF" w:rsidRDefault="00F427FF" w:rsidP="00F427FF">
      <w:pPr>
        <w:spacing w:line="480" w:lineRule="auto"/>
        <w:rPr>
          <w:rFonts w:ascii="Times New Roman" w:hAnsi="Times New Roman" w:cs="Times New Roman"/>
          <w:sz w:val="24"/>
          <w:szCs w:val="24"/>
        </w:rPr>
      </w:pPr>
    </w:p>
    <w:p w14:paraId="06E1A2E2" w14:textId="77777777" w:rsidR="00F427FF" w:rsidRDefault="00F427FF" w:rsidP="00F427FF">
      <w:pPr>
        <w:spacing w:line="480" w:lineRule="auto"/>
        <w:rPr>
          <w:rFonts w:ascii="Times New Roman" w:hAnsi="Times New Roman" w:cs="Times New Roman"/>
          <w:sz w:val="24"/>
          <w:szCs w:val="24"/>
        </w:rPr>
      </w:pPr>
    </w:p>
    <w:p w14:paraId="379ECE67" w14:textId="17468A36" w:rsidR="009704B7" w:rsidRPr="000C4651" w:rsidRDefault="000C4651" w:rsidP="000C4651">
      <w:pPr>
        <w:pStyle w:val="Heading2"/>
        <w:rPr>
          <w:rFonts w:ascii="Times New Roman" w:hAnsi="Times New Roman" w:cs="Times New Roman"/>
          <w:sz w:val="24"/>
          <w:szCs w:val="24"/>
        </w:rPr>
      </w:pPr>
      <w:bookmarkStart w:id="3" w:name="_Toc77951141"/>
      <w:r>
        <w:rPr>
          <w:rFonts w:ascii="Times New Roman" w:hAnsi="Times New Roman" w:cs="Times New Roman"/>
          <w:sz w:val="24"/>
          <w:szCs w:val="24"/>
        </w:rPr>
        <w:lastRenderedPageBreak/>
        <w:t>Intervention Content Checklist E</w:t>
      </w:r>
      <w:r w:rsidR="009704B7" w:rsidRPr="000C4651">
        <w:rPr>
          <w:rFonts w:ascii="Times New Roman" w:hAnsi="Times New Roman" w:cs="Times New Roman"/>
          <w:sz w:val="24"/>
          <w:szCs w:val="24"/>
        </w:rPr>
        <w:t>laboration</w:t>
      </w:r>
      <w:bookmarkEnd w:id="3"/>
    </w:p>
    <w:p w14:paraId="62B92608" w14:textId="77777777" w:rsidR="000C4651" w:rsidRDefault="000C4651" w:rsidP="009704B7">
      <w:pPr>
        <w:rPr>
          <w:rFonts w:ascii="Times New Roman" w:hAnsi="Times New Roman" w:cs="Times New Roman"/>
          <w:b/>
        </w:rPr>
      </w:pPr>
    </w:p>
    <w:p w14:paraId="62611DAF" w14:textId="77777777" w:rsidR="009704B7" w:rsidRPr="000C4651" w:rsidRDefault="009704B7" w:rsidP="009704B7">
      <w:pPr>
        <w:rPr>
          <w:rFonts w:ascii="Times New Roman" w:hAnsi="Times New Roman" w:cs="Times New Roman"/>
          <w:sz w:val="24"/>
          <w:szCs w:val="24"/>
        </w:rPr>
      </w:pPr>
      <w:r w:rsidRPr="000C4651">
        <w:rPr>
          <w:rFonts w:ascii="Times New Roman" w:hAnsi="Times New Roman" w:cs="Times New Roman"/>
          <w:sz w:val="24"/>
          <w:szCs w:val="24"/>
        </w:rPr>
        <w:t>Each intervention has its own column, which is filled from top to bottom.</w:t>
      </w:r>
    </w:p>
    <w:p w14:paraId="42BC9B5D" w14:textId="77777777" w:rsidR="009704B7" w:rsidRPr="000C4651" w:rsidRDefault="009704B7" w:rsidP="009704B7">
      <w:pPr>
        <w:rPr>
          <w:rFonts w:ascii="Times New Roman" w:hAnsi="Times New Roman" w:cs="Times New Roman"/>
          <w:sz w:val="24"/>
          <w:szCs w:val="24"/>
        </w:rPr>
      </w:pPr>
      <w:r w:rsidRPr="000C4651">
        <w:rPr>
          <w:rFonts w:ascii="Times New Roman" w:hAnsi="Times New Roman" w:cs="Times New Roman"/>
          <w:sz w:val="24"/>
          <w:szCs w:val="24"/>
        </w:rPr>
        <w:t xml:space="preserve">Mark each content item (indicated on rows) with “x” if this is present in intervention. If item is not present, leave box blank. Items need to be explicitly reported in intervention description to be marked as present. </w:t>
      </w:r>
    </w:p>
    <w:p w14:paraId="58A121FD" w14:textId="77777777" w:rsidR="009704B7" w:rsidRPr="000C4651" w:rsidRDefault="009704B7" w:rsidP="009704B7">
      <w:pPr>
        <w:rPr>
          <w:rFonts w:ascii="Times New Roman" w:hAnsi="Times New Roman" w:cs="Times New Roman"/>
          <w:sz w:val="24"/>
          <w:szCs w:val="24"/>
          <w:u w:val="single"/>
        </w:rPr>
      </w:pPr>
      <w:r w:rsidRPr="000C4651">
        <w:rPr>
          <w:rFonts w:ascii="Times New Roman" w:hAnsi="Times New Roman" w:cs="Times New Roman"/>
          <w:sz w:val="24"/>
          <w:szCs w:val="24"/>
          <w:u w:val="single"/>
        </w:rPr>
        <w:t xml:space="preserve">Information and understanding: </w:t>
      </w:r>
      <w:r w:rsidRPr="000C4651">
        <w:rPr>
          <w:rFonts w:ascii="Times New Roman" w:hAnsi="Times New Roman" w:cs="Times New Roman"/>
          <w:i/>
          <w:sz w:val="24"/>
          <w:szCs w:val="24"/>
        </w:rPr>
        <w:t>Providing important knowledge as part of treatment</w:t>
      </w:r>
    </w:p>
    <w:p w14:paraId="38A1D3A2"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Psychoeducation about problem gambling</w:t>
      </w:r>
    </w:p>
    <w:p w14:paraId="3340B6D5"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Includes information on gambling in general (e.g. probabilities) and/or problem gambling (e.g. consequences of gambling to gambler, motivation for change and recovery process)</w:t>
      </w:r>
    </w:p>
    <w:p w14:paraId="54B2E012"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Additional psychoeducation</w:t>
      </w:r>
    </w:p>
    <w:p w14:paraId="6D4AF272"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Includes information related to supporting CSO well-being (e.g. stress and coping, importance on social support, building and maintaining personal motivation)</w:t>
      </w:r>
    </w:p>
    <w:p w14:paraId="6F43EC6F"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Information on protecting finances</w:t>
      </w:r>
    </w:p>
    <w:p w14:paraId="1BD24341"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Includes tips on financial regulation</w:t>
      </w:r>
    </w:p>
    <w:p w14:paraId="6C6AE1DD"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Information on available services</w:t>
      </w:r>
    </w:p>
    <w:p w14:paraId="5B67BF8A"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Includes information on available treatment options for CSO and/or gambler, as well as other additional resources (e.g. useful websites, social services, legal counselling services)</w:t>
      </w:r>
    </w:p>
    <w:p w14:paraId="362BEC79"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Understanding self</w:t>
      </w:r>
    </w:p>
    <w:p w14:paraId="4E1BA18B"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How CSO understands self in terms of thoughts, feelings, behavior and personal history.</w:t>
      </w:r>
    </w:p>
    <w:p w14:paraId="15112532"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Represents information gathering (i.e. counsellor learns to understand CSO) but may also serve to deepen self-comprehension and self-compassion</w:t>
      </w:r>
    </w:p>
    <w:p w14:paraId="4DCC9E85"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 xml:space="preserve">Compared to psychoeducation/receiving information, requires more effort on behalf of CSO e.g. by counsellor utilizing </w:t>
      </w:r>
      <w:proofErr w:type="spellStart"/>
      <w:r w:rsidRPr="000C4651">
        <w:rPr>
          <w:rFonts w:ascii="Times New Roman" w:hAnsi="Times New Roman" w:cs="Times New Roman"/>
          <w:sz w:val="24"/>
          <w:szCs w:val="24"/>
        </w:rPr>
        <w:t>socratic</w:t>
      </w:r>
      <w:proofErr w:type="spellEnd"/>
      <w:r w:rsidRPr="000C4651">
        <w:rPr>
          <w:rFonts w:ascii="Times New Roman" w:hAnsi="Times New Roman" w:cs="Times New Roman"/>
          <w:sz w:val="24"/>
          <w:szCs w:val="24"/>
        </w:rPr>
        <w:t xml:space="preserve"> questioning</w:t>
      </w:r>
    </w:p>
    <w:p w14:paraId="3DEA265D"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Understanding gambler</w:t>
      </w:r>
    </w:p>
    <w:p w14:paraId="5ACE93A7"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Refers to CSO’s comprehension of gambling individual. May include “functional analysis” of gambler’s behavior</w:t>
      </w:r>
    </w:p>
    <w:p w14:paraId="42034DA7"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Represents information gathering and serves to inform how to develop coping strategies (“spill-over effect” to coping skills)</w:t>
      </w:r>
    </w:p>
    <w:p w14:paraId="13C6CD4C"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Compared to psychoeducation/receiving information, requires more effort on behalf of CSO (and gambler) e.g. by utilizing functional analysis</w:t>
      </w:r>
    </w:p>
    <w:p w14:paraId="4CBE96FA" w14:textId="77777777" w:rsidR="009704B7" w:rsidRPr="000C4651" w:rsidRDefault="009704B7" w:rsidP="009704B7">
      <w:pPr>
        <w:rPr>
          <w:rFonts w:ascii="Times New Roman" w:hAnsi="Times New Roman" w:cs="Times New Roman"/>
          <w:sz w:val="24"/>
          <w:szCs w:val="24"/>
          <w:u w:val="single"/>
        </w:rPr>
      </w:pPr>
      <w:r w:rsidRPr="000C4651">
        <w:rPr>
          <w:rFonts w:ascii="Times New Roman" w:hAnsi="Times New Roman" w:cs="Times New Roman"/>
          <w:sz w:val="24"/>
          <w:szCs w:val="24"/>
          <w:u w:val="single"/>
        </w:rPr>
        <w:t xml:space="preserve">Social support: </w:t>
      </w:r>
      <w:r w:rsidRPr="000C4651">
        <w:rPr>
          <w:rFonts w:ascii="Times New Roman" w:hAnsi="Times New Roman" w:cs="Times New Roman"/>
          <w:i/>
          <w:sz w:val="24"/>
          <w:szCs w:val="24"/>
        </w:rPr>
        <w:t>Providing and improving social support as part of treatment</w:t>
      </w:r>
    </w:p>
    <w:p w14:paraId="46B2E1C4"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Professional provides information and advice</w:t>
      </w:r>
    </w:p>
    <w:p w14:paraId="578BFA16"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Refers to professional oversight of treatment (defined as self-directed, information and advice, or therapeutic response)</w:t>
      </w:r>
    </w:p>
    <w:p w14:paraId="30060EB0"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lastRenderedPageBreak/>
        <w:t>Presumes treatment efficacy to relate to e.g. providing information, guiding decision making and helping to overcome ambivalence. May relate to discussing self-help materials (excludes therapeutic response)</w:t>
      </w:r>
    </w:p>
    <w:p w14:paraId="736E309B"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Professional provides therapeutic response</w:t>
      </w:r>
    </w:p>
    <w:p w14:paraId="654B8CC3"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Refers to professional oversight of treatment (see previous explanation)</w:t>
      </w:r>
    </w:p>
    <w:p w14:paraId="1E6408C2"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Presumes treatment efficacy to relate at least partially to e.g. therapeutic alliance, non-judgmental and active listening, accurate empathy, CBT or MI. May also include receiving information and advice.</w:t>
      </w:r>
    </w:p>
    <w:p w14:paraId="7EB0ADE0"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Building and maintaining social support network</w:t>
      </w:r>
    </w:p>
    <w:p w14:paraId="5B0B5B71"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May include identifying available support, evaluating quality of support, and encouraging socialization</w:t>
      </w:r>
    </w:p>
    <w:p w14:paraId="5DBFDBA2"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Peer support</w:t>
      </w:r>
    </w:p>
    <w:p w14:paraId="2459D109"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Includes receiving peer support in face-to-face or online modality, e.g. mutual support group meetings or moderated online forum for CSOs</w:t>
      </w:r>
    </w:p>
    <w:p w14:paraId="24B5116D"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Strengthen mutual support within couple’s relationship</w:t>
      </w:r>
    </w:p>
    <w:p w14:paraId="516A3D31"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Refers to treatment goal specific to couple’s treatment, where increased mutual comprehension leads to mutual support</w:t>
      </w:r>
    </w:p>
    <w:p w14:paraId="73BA5C49"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Includes concept of congruence within relationship. Overlaps with coping strategy of shared pleasurable activities (reinforcing non-gambling)</w:t>
      </w:r>
    </w:p>
    <w:p w14:paraId="4F735467" w14:textId="77777777" w:rsidR="009704B7" w:rsidRPr="000C4651" w:rsidRDefault="009704B7" w:rsidP="009704B7">
      <w:pPr>
        <w:rPr>
          <w:rFonts w:ascii="Times New Roman" w:hAnsi="Times New Roman" w:cs="Times New Roman"/>
          <w:sz w:val="24"/>
          <w:szCs w:val="24"/>
          <w:u w:val="single"/>
        </w:rPr>
      </w:pPr>
      <w:r w:rsidRPr="000C4651">
        <w:rPr>
          <w:rFonts w:ascii="Times New Roman" w:hAnsi="Times New Roman" w:cs="Times New Roman"/>
          <w:sz w:val="24"/>
          <w:szCs w:val="24"/>
          <w:u w:val="single"/>
        </w:rPr>
        <w:t xml:space="preserve">Coping skills: </w:t>
      </w:r>
      <w:r w:rsidRPr="000C4651">
        <w:rPr>
          <w:rFonts w:ascii="Times New Roman" w:hAnsi="Times New Roman" w:cs="Times New Roman"/>
          <w:i/>
          <w:sz w:val="24"/>
          <w:szCs w:val="24"/>
        </w:rPr>
        <w:t>Teaching coping skills as part of treatment</w:t>
      </w:r>
    </w:p>
    <w:p w14:paraId="1679E53D"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Reinforcing non-gambling behavior</w:t>
      </w:r>
    </w:p>
    <w:p w14:paraId="5D5C0543"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 xml:space="preserve">Includes organizing non-gambling activity e.g. pleasurable shared activities (behavior substitution) and rewarding gambler for non-gambling activity </w:t>
      </w:r>
    </w:p>
    <w:p w14:paraId="2E42CCB5"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Preventing relapse by organizing activity incompatible with gambling</w:t>
      </w:r>
    </w:p>
    <w:p w14:paraId="53B40EC6"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Avoid reinforcing gambling behavior</w:t>
      </w:r>
    </w:p>
    <w:p w14:paraId="3DA7A5A9"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Includes letting natural consequences of gambling occur (e.g. avoid lying on behalf of gambler or paying off debts), avoiding enabling (e.g. lending money for gambling, or joining gambler in casino)</w:t>
      </w:r>
    </w:p>
    <w:p w14:paraId="638B152A" w14:textId="77777777" w:rsidR="009704B7" w:rsidRPr="000C4651" w:rsidRDefault="009704B7" w:rsidP="009704B7">
      <w:pPr>
        <w:pStyle w:val="ListParagraph"/>
        <w:numPr>
          <w:ilvl w:val="0"/>
          <w:numId w:val="1"/>
        </w:numPr>
        <w:rPr>
          <w:rFonts w:ascii="Times New Roman" w:hAnsi="Times New Roman" w:cs="Times New Roman"/>
          <w:sz w:val="24"/>
          <w:szCs w:val="24"/>
          <w:u w:val="single"/>
        </w:rPr>
      </w:pPr>
      <w:r w:rsidRPr="000C4651">
        <w:rPr>
          <w:rFonts w:ascii="Times New Roman" w:hAnsi="Times New Roman" w:cs="Times New Roman"/>
          <w:sz w:val="24"/>
          <w:szCs w:val="24"/>
        </w:rPr>
        <w:t>Encourage gambler into treatment</w:t>
      </w:r>
    </w:p>
    <w:p w14:paraId="69B7E51D"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Explore coping strategies related to gambling</w:t>
      </w:r>
    </w:p>
    <w:p w14:paraId="4EDD8936"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Evaluate current coping strategies (adaptive / maladaptive), explore alternative strategies.</w:t>
      </w:r>
    </w:p>
    <w:p w14:paraId="23E5CA3D"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 xml:space="preserve">May include dealing with conflicting feelings / dilemmas related to different coping strategies </w:t>
      </w:r>
    </w:p>
    <w:p w14:paraId="418C5609"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This refers to more general approach to teaching coping skills compared to teaching specific ways of reinforcing behavior.</w:t>
      </w:r>
    </w:p>
    <w:p w14:paraId="3FCD62DF"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Problem solving skills</w:t>
      </w:r>
    </w:p>
    <w:p w14:paraId="4556E96A"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Teaching problem solving skills</w:t>
      </w:r>
    </w:p>
    <w:p w14:paraId="324570A2"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Dealing with adversities</w:t>
      </w:r>
    </w:p>
    <w:p w14:paraId="2CFECA9F"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What to do in case of e.g. domestic violence or depression</w:t>
      </w:r>
    </w:p>
    <w:p w14:paraId="45B01273"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Self-care</w:t>
      </w:r>
    </w:p>
    <w:p w14:paraId="0EC093B5"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Encourage self-care and participation in rewarding activity independently</w:t>
      </w:r>
    </w:p>
    <w:p w14:paraId="0CEF36A3"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lastRenderedPageBreak/>
        <w:t>Self-care can also be defined through attitude towards self (e.g. self-compassion and self-esteem)</w:t>
      </w:r>
    </w:p>
    <w:p w14:paraId="500FC150"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May also include understanding responsibilities and accountability, and how these concepts relate to setting boundaries and self-worth</w:t>
      </w:r>
    </w:p>
    <w:p w14:paraId="0777F973"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Motivational enhancement (to help self and/or gambler)</w:t>
      </w:r>
    </w:p>
    <w:p w14:paraId="20A96D06"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Allocates time to motivation enhancement and/or utilizes motivational enhancement techniques, e.g. reflecting on core values, comparing pros and cons, rewarding for goal achievement</w:t>
      </w:r>
    </w:p>
    <w:p w14:paraId="1EC83428"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Plan for potential crisis</w:t>
      </w:r>
    </w:p>
    <w:p w14:paraId="0185A61F"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How to plan ahead for potential crisis, e.g. related to violence, suicidality, debt</w:t>
      </w:r>
    </w:p>
    <w:p w14:paraId="7F42A097" w14:textId="77777777" w:rsidR="009704B7" w:rsidRPr="000C4651" w:rsidRDefault="009704B7" w:rsidP="009704B7">
      <w:pPr>
        <w:rPr>
          <w:rFonts w:ascii="Times New Roman" w:hAnsi="Times New Roman" w:cs="Times New Roman"/>
          <w:i/>
          <w:sz w:val="24"/>
          <w:szCs w:val="24"/>
        </w:rPr>
      </w:pPr>
      <w:r w:rsidRPr="000C4651">
        <w:rPr>
          <w:rFonts w:ascii="Times New Roman" w:hAnsi="Times New Roman" w:cs="Times New Roman"/>
          <w:sz w:val="24"/>
          <w:szCs w:val="24"/>
          <w:u w:val="single"/>
        </w:rPr>
        <w:t xml:space="preserve">Communication: </w:t>
      </w:r>
      <w:r w:rsidRPr="000C4651">
        <w:rPr>
          <w:rFonts w:ascii="Times New Roman" w:hAnsi="Times New Roman" w:cs="Times New Roman"/>
          <w:i/>
          <w:sz w:val="24"/>
          <w:szCs w:val="24"/>
        </w:rPr>
        <w:t>Teaching communication skills as part of treatment</w:t>
      </w:r>
    </w:p>
    <w:p w14:paraId="3A17BCF0"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Communication skill training</w:t>
      </w:r>
    </w:p>
    <w:p w14:paraId="3BB820C6"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General communication skills, e.g. positive communication skills, making a request, listening skills</w:t>
      </w:r>
    </w:p>
    <w:p w14:paraId="21CE20C0"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How to talk about gambling and avoid resistance</w:t>
      </w:r>
    </w:p>
    <w:p w14:paraId="7BCB30E6"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Relates to how CSO can encourage change and treatment entry</w:t>
      </w:r>
    </w:p>
    <w:p w14:paraId="3D1FEEE0"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Broaden and deepen communicational patterns within couple</w:t>
      </w:r>
    </w:p>
    <w:p w14:paraId="0D1BE304"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Skill training specific to couple’s treatment</w:t>
      </w:r>
    </w:p>
    <w:p w14:paraId="01E0C98D" w14:textId="77777777" w:rsidR="009704B7" w:rsidRPr="000C4651" w:rsidRDefault="009704B7" w:rsidP="009704B7">
      <w:pPr>
        <w:rPr>
          <w:rFonts w:ascii="Times New Roman" w:hAnsi="Times New Roman" w:cs="Times New Roman"/>
          <w:i/>
          <w:sz w:val="24"/>
          <w:szCs w:val="24"/>
        </w:rPr>
      </w:pPr>
      <w:r w:rsidRPr="000C4651">
        <w:rPr>
          <w:rFonts w:ascii="Times New Roman" w:hAnsi="Times New Roman" w:cs="Times New Roman"/>
          <w:sz w:val="24"/>
          <w:szCs w:val="24"/>
          <w:u w:val="single"/>
        </w:rPr>
        <w:t xml:space="preserve">Other: </w:t>
      </w:r>
      <w:r w:rsidRPr="000C4651">
        <w:rPr>
          <w:rFonts w:ascii="Times New Roman" w:hAnsi="Times New Roman" w:cs="Times New Roman"/>
          <w:i/>
          <w:sz w:val="24"/>
          <w:szCs w:val="24"/>
        </w:rPr>
        <w:t>Other elements to treatment</w:t>
      </w:r>
    </w:p>
    <w:p w14:paraId="27A0E96F"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Realistic expectations</w:t>
      </w:r>
    </w:p>
    <w:p w14:paraId="63281E8B"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 xml:space="preserve">Communicating realistic expectations to CSO about treatment outcomes and process of change. </w:t>
      </w:r>
    </w:p>
    <w:p w14:paraId="15289576"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May include general description of intervention, but this alone is not enough.</w:t>
      </w:r>
    </w:p>
    <w:p w14:paraId="50FA96F9" w14:textId="77777777" w:rsidR="009704B7" w:rsidRPr="000C4651" w:rsidRDefault="009704B7" w:rsidP="009704B7">
      <w:pPr>
        <w:pStyle w:val="ListParagraph"/>
        <w:numPr>
          <w:ilvl w:val="0"/>
          <w:numId w:val="1"/>
        </w:numPr>
        <w:rPr>
          <w:rFonts w:ascii="Times New Roman" w:hAnsi="Times New Roman" w:cs="Times New Roman"/>
          <w:sz w:val="24"/>
          <w:szCs w:val="24"/>
        </w:rPr>
      </w:pPr>
      <w:r w:rsidRPr="000C4651">
        <w:rPr>
          <w:rFonts w:ascii="Times New Roman" w:hAnsi="Times New Roman" w:cs="Times New Roman"/>
          <w:sz w:val="24"/>
          <w:szCs w:val="24"/>
        </w:rPr>
        <w:t>Goal setting</w:t>
      </w:r>
    </w:p>
    <w:p w14:paraId="387EB6C2" w14:textId="77777777" w:rsidR="009704B7" w:rsidRPr="000C4651" w:rsidRDefault="009704B7" w:rsidP="009704B7">
      <w:pPr>
        <w:pStyle w:val="ListParagraph"/>
        <w:numPr>
          <w:ilvl w:val="1"/>
          <w:numId w:val="1"/>
        </w:numPr>
        <w:rPr>
          <w:rFonts w:ascii="Times New Roman" w:hAnsi="Times New Roman" w:cs="Times New Roman"/>
          <w:sz w:val="24"/>
          <w:szCs w:val="24"/>
        </w:rPr>
      </w:pPr>
      <w:r w:rsidRPr="000C4651">
        <w:rPr>
          <w:rFonts w:ascii="Times New Roman" w:hAnsi="Times New Roman" w:cs="Times New Roman"/>
          <w:sz w:val="24"/>
          <w:szCs w:val="24"/>
        </w:rPr>
        <w:t>Goals set as part of treatment e.g. for psychological functioning of CSO, couples relationship goals or goals related to gambling behavior</w:t>
      </w:r>
    </w:p>
    <w:p w14:paraId="70360452" w14:textId="77777777" w:rsidR="009704B7" w:rsidRPr="000C4651" w:rsidRDefault="009704B7" w:rsidP="009704B7">
      <w:pPr>
        <w:pStyle w:val="ListParagraph"/>
        <w:numPr>
          <w:ilvl w:val="0"/>
          <w:numId w:val="1"/>
        </w:numPr>
        <w:rPr>
          <w:rFonts w:ascii="Times New Roman" w:hAnsi="Times New Roman" w:cs="Times New Roman"/>
          <w:sz w:val="24"/>
          <w:szCs w:val="24"/>
          <w:u w:val="single"/>
        </w:rPr>
      </w:pPr>
      <w:r w:rsidRPr="000C4651">
        <w:rPr>
          <w:rFonts w:ascii="Times New Roman" w:hAnsi="Times New Roman" w:cs="Times New Roman"/>
          <w:sz w:val="24"/>
          <w:szCs w:val="24"/>
        </w:rPr>
        <w:t>Self-monitoring</w:t>
      </w:r>
    </w:p>
    <w:p w14:paraId="6350A171" w14:textId="77777777" w:rsidR="009704B7" w:rsidRPr="000C4651" w:rsidRDefault="009704B7" w:rsidP="009704B7">
      <w:pPr>
        <w:pStyle w:val="ListParagraph"/>
        <w:numPr>
          <w:ilvl w:val="1"/>
          <w:numId w:val="1"/>
        </w:numPr>
        <w:rPr>
          <w:rFonts w:ascii="Times New Roman" w:hAnsi="Times New Roman" w:cs="Times New Roman"/>
          <w:sz w:val="24"/>
          <w:szCs w:val="24"/>
          <w:u w:val="single"/>
        </w:rPr>
      </w:pPr>
      <w:r w:rsidRPr="000C4651">
        <w:rPr>
          <w:rFonts w:ascii="Times New Roman" w:hAnsi="Times New Roman" w:cs="Times New Roman"/>
          <w:sz w:val="24"/>
          <w:szCs w:val="24"/>
        </w:rPr>
        <w:t>Refers to e.g. self-assessments or keeping a diary as part of treatment. Excludes assessments conducted only for research purposes.</w:t>
      </w:r>
    </w:p>
    <w:p w14:paraId="274E5C5F" w14:textId="77777777" w:rsidR="009704B7" w:rsidRPr="000C4651" w:rsidRDefault="009704B7" w:rsidP="009704B7">
      <w:pPr>
        <w:pStyle w:val="ListParagraph"/>
        <w:numPr>
          <w:ilvl w:val="0"/>
          <w:numId w:val="1"/>
        </w:numPr>
        <w:rPr>
          <w:rFonts w:ascii="Times New Roman" w:hAnsi="Times New Roman" w:cs="Times New Roman"/>
          <w:sz w:val="24"/>
          <w:szCs w:val="24"/>
          <w:u w:val="single"/>
        </w:rPr>
      </w:pPr>
      <w:r w:rsidRPr="000C4651">
        <w:rPr>
          <w:rFonts w:ascii="Times New Roman" w:hAnsi="Times New Roman" w:cs="Times New Roman"/>
          <w:sz w:val="24"/>
          <w:szCs w:val="24"/>
        </w:rPr>
        <w:t>Review of content</w:t>
      </w:r>
    </w:p>
    <w:p w14:paraId="043A66B5" w14:textId="77777777" w:rsidR="009704B7" w:rsidRPr="000C4651" w:rsidRDefault="009704B7" w:rsidP="009704B7">
      <w:pPr>
        <w:pStyle w:val="ListParagraph"/>
        <w:numPr>
          <w:ilvl w:val="1"/>
          <w:numId w:val="1"/>
        </w:numPr>
        <w:rPr>
          <w:rFonts w:ascii="Times New Roman" w:hAnsi="Times New Roman" w:cs="Times New Roman"/>
          <w:sz w:val="24"/>
          <w:szCs w:val="24"/>
          <w:u w:val="single"/>
        </w:rPr>
      </w:pPr>
      <w:r w:rsidRPr="000C4651">
        <w:rPr>
          <w:rFonts w:ascii="Times New Roman" w:hAnsi="Times New Roman" w:cs="Times New Roman"/>
          <w:sz w:val="24"/>
          <w:szCs w:val="24"/>
        </w:rPr>
        <w:t>Intervention protocol allocates time to reviewing intervention content</w:t>
      </w:r>
    </w:p>
    <w:p w14:paraId="4F82D816" w14:textId="77777777" w:rsidR="009704B7" w:rsidRPr="000C4651" w:rsidRDefault="009704B7" w:rsidP="009704B7">
      <w:pPr>
        <w:pStyle w:val="ListParagraph"/>
        <w:numPr>
          <w:ilvl w:val="0"/>
          <w:numId w:val="1"/>
        </w:numPr>
        <w:rPr>
          <w:rFonts w:ascii="Times New Roman" w:hAnsi="Times New Roman" w:cs="Times New Roman"/>
          <w:sz w:val="24"/>
          <w:szCs w:val="24"/>
          <w:u w:val="single"/>
        </w:rPr>
      </w:pPr>
      <w:r w:rsidRPr="000C4651">
        <w:rPr>
          <w:rFonts w:ascii="Times New Roman" w:hAnsi="Times New Roman" w:cs="Times New Roman"/>
          <w:sz w:val="24"/>
          <w:szCs w:val="24"/>
        </w:rPr>
        <w:t>Future planning</w:t>
      </w:r>
    </w:p>
    <w:p w14:paraId="69A8B5E2" w14:textId="77777777" w:rsidR="009704B7" w:rsidRPr="000C4651" w:rsidRDefault="009704B7" w:rsidP="009704B7">
      <w:pPr>
        <w:pStyle w:val="ListParagraph"/>
        <w:numPr>
          <w:ilvl w:val="1"/>
          <w:numId w:val="1"/>
        </w:numPr>
        <w:rPr>
          <w:rFonts w:ascii="Times New Roman" w:hAnsi="Times New Roman" w:cs="Times New Roman"/>
          <w:sz w:val="24"/>
          <w:szCs w:val="24"/>
          <w:u w:val="single"/>
        </w:rPr>
      </w:pPr>
      <w:r w:rsidRPr="000C4651">
        <w:rPr>
          <w:rFonts w:ascii="Times New Roman" w:hAnsi="Times New Roman" w:cs="Times New Roman"/>
          <w:sz w:val="24"/>
          <w:szCs w:val="24"/>
        </w:rPr>
        <w:t>Providing guidance for planning for the future, e.g. what to do if gambler does not change behavior</w:t>
      </w:r>
    </w:p>
    <w:p w14:paraId="08567C8A" w14:textId="77777777" w:rsidR="009704B7" w:rsidRPr="000C4651" w:rsidRDefault="009704B7" w:rsidP="009704B7">
      <w:pPr>
        <w:pStyle w:val="ListParagraph"/>
        <w:numPr>
          <w:ilvl w:val="0"/>
          <w:numId w:val="1"/>
        </w:numPr>
        <w:rPr>
          <w:rFonts w:ascii="Times New Roman" w:hAnsi="Times New Roman" w:cs="Times New Roman"/>
          <w:sz w:val="24"/>
          <w:szCs w:val="24"/>
          <w:u w:val="single"/>
        </w:rPr>
      </w:pPr>
      <w:r w:rsidRPr="000C4651">
        <w:rPr>
          <w:rFonts w:ascii="Times New Roman" w:hAnsi="Times New Roman" w:cs="Times New Roman"/>
          <w:sz w:val="24"/>
          <w:szCs w:val="24"/>
        </w:rPr>
        <w:t>Problem gambling treatment</w:t>
      </w:r>
    </w:p>
    <w:p w14:paraId="78F48103" w14:textId="77777777" w:rsidR="009704B7" w:rsidRPr="000C4651" w:rsidRDefault="009704B7" w:rsidP="009704B7">
      <w:pPr>
        <w:pStyle w:val="ListParagraph"/>
        <w:numPr>
          <w:ilvl w:val="1"/>
          <w:numId w:val="1"/>
        </w:numPr>
        <w:rPr>
          <w:rFonts w:ascii="Times New Roman" w:hAnsi="Times New Roman" w:cs="Times New Roman"/>
          <w:sz w:val="24"/>
          <w:szCs w:val="24"/>
          <w:u w:val="single"/>
        </w:rPr>
      </w:pPr>
      <w:r w:rsidRPr="000C4651">
        <w:rPr>
          <w:rFonts w:ascii="Times New Roman" w:hAnsi="Times New Roman" w:cs="Times New Roman"/>
          <w:sz w:val="24"/>
          <w:szCs w:val="24"/>
        </w:rPr>
        <w:t>Intervention includes treatment directed towards gambler, e.g. cognitive restructuring. Can be conducted in presence of CSO, or as part of a larger treatment package to which both CSO and gambler are taking part in.</w:t>
      </w:r>
    </w:p>
    <w:p w14:paraId="2211A868" w14:textId="09D378B3" w:rsidR="00B87FD9" w:rsidRPr="000C4651" w:rsidRDefault="00B87FD9">
      <w:pPr>
        <w:rPr>
          <w:rFonts w:ascii="Times New Roman" w:hAnsi="Times New Roman" w:cs="Times New Roman"/>
          <w:sz w:val="24"/>
          <w:szCs w:val="24"/>
        </w:rPr>
      </w:pPr>
      <w:r w:rsidRPr="000C4651">
        <w:rPr>
          <w:rFonts w:ascii="Times New Roman" w:hAnsi="Times New Roman" w:cs="Times New Roman"/>
          <w:sz w:val="24"/>
          <w:szCs w:val="24"/>
        </w:rPr>
        <w:br w:type="page"/>
      </w:r>
    </w:p>
    <w:p w14:paraId="50DAB5DC" w14:textId="0C99AF99" w:rsidR="000C4651" w:rsidRPr="000C4651" w:rsidRDefault="007C0160" w:rsidP="000C4651">
      <w:pPr>
        <w:pStyle w:val="Heading1"/>
        <w:rPr>
          <w:rFonts w:ascii="Times New Roman" w:hAnsi="Times New Roman" w:cs="Times New Roman"/>
          <w:b/>
          <w:sz w:val="28"/>
          <w:szCs w:val="28"/>
        </w:rPr>
      </w:pPr>
      <w:bookmarkStart w:id="4" w:name="_Toc77951142"/>
      <w:r w:rsidRPr="000C4651">
        <w:rPr>
          <w:rFonts w:ascii="Times New Roman" w:hAnsi="Times New Roman" w:cs="Times New Roman"/>
          <w:b/>
          <w:sz w:val="28"/>
          <w:szCs w:val="28"/>
        </w:rPr>
        <w:lastRenderedPageBreak/>
        <w:t>Quantitative synthesis</w:t>
      </w:r>
      <w:bookmarkEnd w:id="4"/>
    </w:p>
    <w:p w14:paraId="27B8EDE0" w14:textId="12791F6E" w:rsidR="000C4651" w:rsidRDefault="007C0160" w:rsidP="000C4651">
      <w:pPr>
        <w:pStyle w:val="Heading2"/>
        <w:rPr>
          <w:rFonts w:ascii="Times New Roman" w:hAnsi="Times New Roman" w:cs="Times New Roman"/>
          <w:sz w:val="24"/>
          <w:szCs w:val="24"/>
        </w:rPr>
      </w:pPr>
      <w:bookmarkStart w:id="5" w:name="_Toc77951143"/>
      <w:r w:rsidRPr="000C4651">
        <w:rPr>
          <w:rFonts w:ascii="Times New Roman" w:hAnsi="Times New Roman" w:cs="Times New Roman"/>
          <w:sz w:val="24"/>
          <w:szCs w:val="24"/>
        </w:rPr>
        <w:t>Procedure</w:t>
      </w:r>
      <w:bookmarkEnd w:id="5"/>
    </w:p>
    <w:p w14:paraId="4BB767A6" w14:textId="77777777" w:rsidR="000C4651" w:rsidRPr="000C4651" w:rsidRDefault="000C4651" w:rsidP="000C4651"/>
    <w:p w14:paraId="3D82E77A" w14:textId="77777777" w:rsidR="007C0160" w:rsidRDefault="007C0160" w:rsidP="007C0160">
      <w:pPr>
        <w:spacing w:line="480" w:lineRule="auto"/>
        <w:rPr>
          <w:rFonts w:ascii="Times New Roman" w:hAnsi="Times New Roman" w:cs="Times New Roman"/>
          <w:sz w:val="24"/>
          <w:szCs w:val="24"/>
        </w:rPr>
      </w:pPr>
      <w:r w:rsidRPr="000C1E03">
        <w:rPr>
          <w:rFonts w:ascii="Times New Roman" w:hAnsi="Times New Roman" w:cs="Times New Roman"/>
          <w:sz w:val="24"/>
          <w:szCs w:val="24"/>
        </w:rPr>
        <w:t>Studies with quantitative pre- and post-intervention data (with or without control group) were selected for quantitative synthesis</w:t>
      </w:r>
      <w:r w:rsidR="00D04503">
        <w:rPr>
          <w:rFonts w:ascii="Times New Roman" w:hAnsi="Times New Roman" w:cs="Times New Roman"/>
          <w:sz w:val="24"/>
          <w:szCs w:val="24"/>
        </w:rPr>
        <w:t xml:space="preserve"> (n = 7)</w:t>
      </w:r>
      <w:r w:rsidRPr="000C1E03">
        <w:rPr>
          <w:rFonts w:ascii="Times New Roman" w:hAnsi="Times New Roman" w:cs="Times New Roman"/>
          <w:sz w:val="24"/>
          <w:szCs w:val="24"/>
        </w:rPr>
        <w:t xml:space="preserve">. </w:t>
      </w:r>
    </w:p>
    <w:p w14:paraId="61F7024B" w14:textId="77777777" w:rsidR="007C0160" w:rsidRDefault="00D04503" w:rsidP="00D04503">
      <w:pPr>
        <w:spacing w:line="480" w:lineRule="auto"/>
        <w:rPr>
          <w:rFonts w:ascii="Times New Roman" w:hAnsi="Times New Roman" w:cs="Times New Roman"/>
          <w:sz w:val="24"/>
          <w:szCs w:val="24"/>
        </w:rPr>
      </w:pPr>
      <w:r>
        <w:rPr>
          <w:rFonts w:ascii="Times New Roman" w:hAnsi="Times New Roman" w:cs="Times New Roman"/>
          <w:sz w:val="24"/>
          <w:szCs w:val="24"/>
        </w:rPr>
        <w:t xml:space="preserve">Commonalities across studies informed decision making of outcome measurement selection and time-point of interest for data collection. </w:t>
      </w:r>
      <w:r w:rsidRPr="000C1E03">
        <w:rPr>
          <w:rFonts w:ascii="Times New Roman" w:hAnsi="Times New Roman" w:cs="Times New Roman"/>
          <w:sz w:val="24"/>
          <w:szCs w:val="24"/>
        </w:rPr>
        <w:t xml:space="preserve">The common outcome </w:t>
      </w:r>
      <w:r>
        <w:rPr>
          <w:rFonts w:ascii="Times New Roman" w:hAnsi="Times New Roman" w:cs="Times New Roman"/>
          <w:sz w:val="24"/>
          <w:szCs w:val="24"/>
        </w:rPr>
        <w:t>domains</w:t>
      </w:r>
      <w:r w:rsidRPr="000C1E03">
        <w:rPr>
          <w:rFonts w:ascii="Times New Roman" w:hAnsi="Times New Roman" w:cs="Times New Roman"/>
          <w:sz w:val="24"/>
          <w:szCs w:val="24"/>
        </w:rPr>
        <w:t xml:space="preserve"> that were measured across studies were symptoms of depression and anxiety, which were also framed as psychol</w:t>
      </w:r>
      <w:r>
        <w:rPr>
          <w:rFonts w:ascii="Times New Roman" w:hAnsi="Times New Roman" w:cs="Times New Roman"/>
          <w:sz w:val="24"/>
          <w:szCs w:val="24"/>
        </w:rPr>
        <w:t>ogical symptoms and distress</w:t>
      </w:r>
      <w:r w:rsidRPr="000C1E03">
        <w:rPr>
          <w:rFonts w:ascii="Times New Roman" w:hAnsi="Times New Roman" w:cs="Times New Roman"/>
          <w:sz w:val="24"/>
          <w:szCs w:val="24"/>
        </w:rPr>
        <w:t>.</w:t>
      </w:r>
      <w:r>
        <w:rPr>
          <w:rFonts w:ascii="Times New Roman" w:hAnsi="Times New Roman" w:cs="Times New Roman"/>
          <w:sz w:val="24"/>
          <w:szCs w:val="24"/>
        </w:rPr>
        <w:t xml:space="preserve"> ICS s</w:t>
      </w:r>
      <w:r w:rsidRPr="000C1E03">
        <w:rPr>
          <w:rFonts w:ascii="Times New Roman" w:hAnsi="Times New Roman" w:cs="Times New Roman"/>
          <w:sz w:val="24"/>
          <w:szCs w:val="24"/>
        </w:rPr>
        <w:t>ubscales were</w:t>
      </w:r>
      <w:r>
        <w:rPr>
          <w:rFonts w:ascii="Times New Roman" w:hAnsi="Times New Roman" w:cs="Times New Roman"/>
          <w:sz w:val="24"/>
          <w:szCs w:val="24"/>
        </w:rPr>
        <w:t xml:space="preserve"> also</w:t>
      </w:r>
      <w:r w:rsidRPr="000C1E03">
        <w:rPr>
          <w:rFonts w:ascii="Times New Roman" w:hAnsi="Times New Roman" w:cs="Times New Roman"/>
          <w:sz w:val="24"/>
          <w:szCs w:val="24"/>
        </w:rPr>
        <w:t xml:space="preserve"> selected as an outcome measure, because ICS was used in 3 studies</w:t>
      </w:r>
      <w:r>
        <w:rPr>
          <w:rFonts w:ascii="Times New Roman" w:hAnsi="Times New Roman" w:cs="Times New Roman"/>
          <w:sz w:val="24"/>
          <w:szCs w:val="24"/>
        </w:rPr>
        <w:t>. For studies utilizing a control group, the common time-point of data collection was post-treatment.</w:t>
      </w:r>
    </w:p>
    <w:p w14:paraId="5C1FE251" w14:textId="77777777" w:rsidR="00D04503" w:rsidRDefault="007C0160" w:rsidP="007C0160">
      <w:pPr>
        <w:spacing w:line="480" w:lineRule="auto"/>
        <w:rPr>
          <w:rFonts w:ascii="Times New Roman" w:hAnsi="Times New Roman" w:cs="Times New Roman"/>
          <w:sz w:val="24"/>
          <w:szCs w:val="24"/>
        </w:rPr>
      </w:pPr>
      <w:r>
        <w:rPr>
          <w:rFonts w:ascii="Times New Roman" w:hAnsi="Times New Roman" w:cs="Times New Roman"/>
          <w:sz w:val="24"/>
          <w:szCs w:val="24"/>
        </w:rPr>
        <w:t>Effect size estimates for outcomes were calculated for post-treatment differences between treatment and control groups with unbiased Hedge’s g and corresponding 95% confidence intervals</w:t>
      </w:r>
      <w:r w:rsidR="00465F08">
        <w:rPr>
          <w:rFonts w:ascii="Times New Roman" w:hAnsi="Times New Roman" w:cs="Times New Roman"/>
          <w:sz w:val="24"/>
          <w:szCs w:val="24"/>
        </w:rPr>
        <w:t xml:space="preserve"> (n = 6)</w:t>
      </w:r>
      <w:r>
        <w:rPr>
          <w:rFonts w:ascii="Times New Roman" w:hAnsi="Times New Roman" w:cs="Times New Roman"/>
          <w:sz w:val="24"/>
          <w:szCs w:val="24"/>
        </w:rPr>
        <w:t>.</w:t>
      </w:r>
    </w:p>
    <w:p w14:paraId="4E3A2CEB" w14:textId="6314FC6D" w:rsidR="00465F08" w:rsidRDefault="00465F08" w:rsidP="007C0160">
      <w:pPr>
        <w:spacing w:line="480" w:lineRule="auto"/>
        <w:rPr>
          <w:rFonts w:ascii="Times New Roman" w:hAnsi="Times New Roman" w:cs="Times New Roman"/>
          <w:sz w:val="24"/>
          <w:szCs w:val="24"/>
        </w:rPr>
      </w:pPr>
      <w:r>
        <w:rPr>
          <w:rFonts w:ascii="Times New Roman" w:hAnsi="Times New Roman" w:cs="Times New Roman"/>
          <w:sz w:val="24"/>
          <w:szCs w:val="24"/>
        </w:rPr>
        <w:t>The effect size for</w:t>
      </w:r>
      <w:r w:rsidR="00D04503">
        <w:rPr>
          <w:rFonts w:ascii="Times New Roman" w:hAnsi="Times New Roman" w:cs="Times New Roman"/>
          <w:sz w:val="24"/>
          <w:szCs w:val="24"/>
        </w:rPr>
        <w:t xml:space="preserve"> within-subjects effect</w:t>
      </w:r>
      <w:r>
        <w:rPr>
          <w:rFonts w:ascii="Times New Roman" w:hAnsi="Times New Roman" w:cs="Times New Roman"/>
          <w:sz w:val="24"/>
          <w:szCs w:val="24"/>
        </w:rPr>
        <w:t xml:space="preserve"> (n = 1)</w:t>
      </w:r>
      <w:r w:rsidR="00D04503">
        <w:rPr>
          <w:rFonts w:ascii="Times New Roman" w:hAnsi="Times New Roman" w:cs="Times New Roman"/>
          <w:sz w:val="24"/>
          <w:szCs w:val="24"/>
        </w:rPr>
        <w:t xml:space="preserve"> was calculated with the unbiased estimate of the mean difference, where the standardizer is the average of pre- and post-measurement st</w:t>
      </w:r>
      <w:r w:rsidR="00B01B1E">
        <w:rPr>
          <w:rFonts w:ascii="Times New Roman" w:hAnsi="Times New Roman" w:cs="Times New Roman"/>
          <w:sz w:val="24"/>
          <w:szCs w:val="24"/>
        </w:rPr>
        <w:t>andard deviations</w:t>
      </w:r>
      <w:r w:rsidR="00D04503">
        <w:rPr>
          <w:rFonts w:ascii="Times New Roman" w:hAnsi="Times New Roman" w:cs="Times New Roman"/>
          <w:sz w:val="24"/>
          <w:szCs w:val="24"/>
        </w:rPr>
        <w:t xml:space="preserve">. </w:t>
      </w:r>
    </w:p>
    <w:p w14:paraId="28DA1800" w14:textId="77777777" w:rsidR="007C0160" w:rsidRPr="00465F08" w:rsidRDefault="00465F08" w:rsidP="007C0160">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All effect size calculations were conducted manually with Excel 2016.</w:t>
      </w:r>
      <w:r w:rsidR="007C0160">
        <w:rPr>
          <w:rFonts w:ascii="Times New Roman" w:hAnsi="Times New Roman" w:cs="Times New Roman"/>
          <w:sz w:val="24"/>
          <w:szCs w:val="24"/>
        </w:rPr>
        <w:br/>
      </w:r>
    </w:p>
    <w:p w14:paraId="51D78FAA" w14:textId="77777777" w:rsidR="007C0160" w:rsidRDefault="007C0160" w:rsidP="007C0160">
      <w:pPr>
        <w:spacing w:line="480" w:lineRule="auto"/>
        <w:rPr>
          <w:rFonts w:ascii="Times New Roman" w:hAnsi="Times New Roman" w:cs="Times New Roman"/>
          <w:sz w:val="24"/>
          <w:szCs w:val="24"/>
        </w:rPr>
      </w:pPr>
    </w:p>
    <w:p w14:paraId="55AF5A87" w14:textId="76D844F4" w:rsidR="00465F08" w:rsidRDefault="00465F08" w:rsidP="007C0160">
      <w:pPr>
        <w:spacing w:line="480" w:lineRule="auto"/>
        <w:rPr>
          <w:rFonts w:ascii="Times New Roman" w:hAnsi="Times New Roman" w:cs="Times New Roman"/>
          <w:sz w:val="24"/>
          <w:szCs w:val="24"/>
        </w:rPr>
      </w:pPr>
    </w:p>
    <w:p w14:paraId="61DA315C" w14:textId="77777777" w:rsidR="00F427FF" w:rsidRDefault="00F427FF" w:rsidP="007C0160">
      <w:pPr>
        <w:spacing w:line="480" w:lineRule="auto"/>
        <w:rPr>
          <w:rFonts w:ascii="Times New Roman" w:hAnsi="Times New Roman" w:cs="Times New Roman"/>
          <w:sz w:val="24"/>
          <w:szCs w:val="24"/>
        </w:rPr>
      </w:pPr>
    </w:p>
    <w:p w14:paraId="4330CADA" w14:textId="5235DF36" w:rsidR="007C0160" w:rsidRDefault="007C0160" w:rsidP="000C4651">
      <w:pPr>
        <w:pStyle w:val="Heading2"/>
        <w:rPr>
          <w:rFonts w:ascii="Times New Roman" w:hAnsi="Times New Roman" w:cs="Times New Roman"/>
          <w:sz w:val="24"/>
          <w:szCs w:val="24"/>
        </w:rPr>
      </w:pPr>
      <w:bookmarkStart w:id="6" w:name="_Toc77951144"/>
      <w:r w:rsidRPr="000C4651">
        <w:rPr>
          <w:rFonts w:ascii="Times New Roman" w:hAnsi="Times New Roman" w:cs="Times New Roman"/>
          <w:sz w:val="24"/>
          <w:szCs w:val="24"/>
        </w:rPr>
        <w:lastRenderedPageBreak/>
        <w:t>Formula</w:t>
      </w:r>
      <w:r w:rsidR="00A445FD">
        <w:rPr>
          <w:rFonts w:ascii="Times New Roman" w:hAnsi="Times New Roman" w:cs="Times New Roman"/>
          <w:sz w:val="24"/>
          <w:szCs w:val="24"/>
        </w:rPr>
        <w:t>e</w:t>
      </w:r>
      <w:bookmarkEnd w:id="6"/>
    </w:p>
    <w:p w14:paraId="1E1404BC" w14:textId="77777777" w:rsidR="000C4651" w:rsidRPr="000C4651" w:rsidRDefault="000C4651" w:rsidP="000C4651"/>
    <w:p w14:paraId="41E2F6EB" w14:textId="77777777" w:rsidR="007C0160" w:rsidRDefault="007C0160" w:rsidP="007C0160">
      <w:pPr>
        <w:spacing w:line="480" w:lineRule="auto"/>
        <w:rPr>
          <w:rFonts w:ascii="Times New Roman" w:hAnsi="Times New Roman" w:cs="Times New Roman"/>
          <w:sz w:val="24"/>
          <w:szCs w:val="24"/>
        </w:rPr>
      </w:pPr>
      <w:r>
        <w:rPr>
          <w:rFonts w:ascii="Times New Roman" w:hAnsi="Times New Roman" w:cs="Times New Roman"/>
          <w:sz w:val="24"/>
          <w:szCs w:val="24"/>
        </w:rPr>
        <w:t>The formulas used for estimating effect size were as follows:</w:t>
      </w:r>
    </w:p>
    <w:p w14:paraId="3B277A86" w14:textId="77777777" w:rsidR="007C0160" w:rsidRPr="00B529D8" w:rsidRDefault="007C0160" w:rsidP="007C0160">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Hedge</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r>
            <w:rPr>
              <w:rFonts w:ascii="Cambria Math" w:hAnsi="Cambria Math" w:cs="Times New Roman"/>
              <w:sz w:val="24"/>
              <w:szCs w:val="24"/>
            </w:rPr>
            <m:t>g≅d(1-</m:t>
          </m:r>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4</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e>
              </m:d>
              <m:r>
                <w:rPr>
                  <w:rFonts w:ascii="Cambria Math" w:hAnsi="Cambria Math" w:cs="Times New Roman"/>
                  <w:sz w:val="24"/>
                  <w:szCs w:val="24"/>
                </w:rPr>
                <m:t>-9</m:t>
              </m:r>
            </m:den>
          </m:f>
          <m:r>
            <w:rPr>
              <w:rFonts w:ascii="Cambria Math" w:hAnsi="Cambria Math" w:cs="Times New Roman"/>
              <w:sz w:val="24"/>
              <w:szCs w:val="24"/>
            </w:rPr>
            <m:t>)</m:t>
          </m:r>
        </m:oMath>
      </m:oMathPara>
    </w:p>
    <w:p w14:paraId="749448C2" w14:textId="77777777" w:rsidR="007C0160" w:rsidRDefault="007C0160" w:rsidP="007C0160">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where</w:t>
      </w:r>
    </w:p>
    <w:p w14:paraId="77B831C2" w14:textId="77777777" w:rsidR="007C0160" w:rsidRPr="00683A57" w:rsidRDefault="007C0160" w:rsidP="007C0160">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d=</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2</m:t>
                  </m:r>
                </m:sub>
              </m:sSub>
            </m:num>
            <m:den>
              <m:sSubSup>
                <m:sSubSupPr>
                  <m:ctrlPr>
                    <w:rPr>
                      <w:rFonts w:ascii="Cambria Math" w:hAnsi="Cambria Math" w:cs="Times New Roman"/>
                      <w:i/>
                      <w:sz w:val="24"/>
                      <w:szCs w:val="24"/>
                    </w:rPr>
                  </m:ctrlPr>
                </m:sSubSupPr>
                <m:e>
                  <m:r>
                    <w:rPr>
                      <w:rFonts w:ascii="Cambria Math" w:hAnsi="Cambria Math" w:cs="Times New Roman"/>
                      <w:sz w:val="24"/>
                      <w:szCs w:val="24"/>
                    </w:rPr>
                    <m:t>SD</m:t>
                  </m:r>
                </m:e>
                <m:sub>
                  <m:r>
                    <w:rPr>
                      <w:rFonts w:ascii="Cambria Math" w:hAnsi="Cambria Math" w:cs="Times New Roman"/>
                      <w:sz w:val="24"/>
                      <w:szCs w:val="24"/>
                    </w:rPr>
                    <m:t>pooled</m:t>
                  </m:r>
                </m:sub>
                <m:sup>
                  <m:r>
                    <w:rPr>
                      <w:rFonts w:ascii="Cambria Math" w:hAnsi="Cambria Math" w:cs="Times New Roman"/>
                      <w:sz w:val="24"/>
                      <w:szCs w:val="24"/>
                    </w:rPr>
                    <m:t>*</m:t>
                  </m:r>
                </m:sup>
              </m:sSubSup>
            </m:den>
          </m:f>
        </m:oMath>
      </m:oMathPara>
    </w:p>
    <w:p w14:paraId="7059E645" w14:textId="77777777" w:rsidR="007C0160" w:rsidRPr="00577603" w:rsidRDefault="00B35DD4" w:rsidP="007C0160">
      <w:pPr>
        <w:spacing w:line="480" w:lineRule="auto"/>
        <w:rPr>
          <w:rFonts w:ascii="Times New Roman" w:eastAsiaTheme="minorEastAsia"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SD</m:t>
              </m:r>
            </m:e>
            <m:sub>
              <m:r>
                <w:rPr>
                  <w:rFonts w:ascii="Cambria Math" w:hAnsi="Cambria Math" w:cs="Times New Roman"/>
                  <w:sz w:val="24"/>
                  <w:szCs w:val="24"/>
                </w:rPr>
                <m:t>pooled</m:t>
              </m:r>
            </m:sub>
            <m:sup>
              <m:r>
                <w:rPr>
                  <w:rFonts w:ascii="Cambria Math" w:hAnsi="Cambria Math" w:cs="Times New Roman"/>
                  <w:sz w:val="24"/>
                  <w:szCs w:val="24"/>
                </w:rPr>
                <m:t>*</m:t>
              </m:r>
            </m:sup>
          </m:sSubSup>
          <m:r>
            <w:rPr>
              <w:rFonts w:ascii="Cambria Math" w:hAnsi="Cambria Math" w:cs="Times New Roman"/>
              <w:sz w:val="24"/>
              <w:szCs w:val="24"/>
            </w:rPr>
            <m:t>=</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m:t>
                      </m:r>
                    </m:e>
                  </m:d>
                  <m:sSubSup>
                    <m:sSubSupPr>
                      <m:ctrlPr>
                        <w:rPr>
                          <w:rFonts w:ascii="Cambria Math" w:hAnsi="Cambria Math" w:cs="Times New Roman"/>
                          <w:i/>
                          <w:sz w:val="24"/>
                          <w:szCs w:val="24"/>
                        </w:rPr>
                      </m:ctrlPr>
                    </m:sSubSupPr>
                    <m:e>
                      <m:r>
                        <w:rPr>
                          <w:rFonts w:ascii="Cambria Math" w:hAnsi="Cambria Math" w:cs="Times New Roman"/>
                          <w:sz w:val="24"/>
                          <w:szCs w:val="24"/>
                        </w:rPr>
                        <m:t>SD</m:t>
                      </m:r>
                    </m:e>
                    <m:sub>
                      <m:r>
                        <w:rPr>
                          <w:rFonts w:ascii="Cambria Math" w:hAnsi="Cambria Math" w:cs="Times New Roman"/>
                          <w:sz w:val="24"/>
                          <w:szCs w:val="24"/>
                        </w:rPr>
                        <m:t>1</m:t>
                      </m:r>
                    </m:sub>
                    <m:sup>
                      <m:r>
                        <w:rPr>
                          <w:rFonts w:ascii="Cambria Math" w:hAnsi="Cambria Math" w:cs="Times New Roman"/>
                          <w:sz w:val="24"/>
                          <w:szCs w:val="24"/>
                        </w:rPr>
                        <m:t>2</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-1)</m:t>
                  </m:r>
                  <m:sSubSup>
                    <m:sSubSupPr>
                      <m:ctrlPr>
                        <w:rPr>
                          <w:rFonts w:ascii="Cambria Math" w:hAnsi="Cambria Math" w:cs="Times New Roman"/>
                          <w:i/>
                          <w:sz w:val="24"/>
                          <w:szCs w:val="24"/>
                        </w:rPr>
                      </m:ctrlPr>
                    </m:sSubSupPr>
                    <m:e>
                      <m:r>
                        <w:rPr>
                          <w:rFonts w:ascii="Cambria Math" w:hAnsi="Cambria Math" w:cs="Times New Roman"/>
                          <w:sz w:val="24"/>
                          <w:szCs w:val="24"/>
                        </w:rPr>
                        <m:t>SD</m:t>
                      </m:r>
                    </m:e>
                    <m:sub>
                      <m:r>
                        <w:rPr>
                          <w:rFonts w:ascii="Cambria Math" w:hAnsi="Cambria Math" w:cs="Times New Roman"/>
                          <w:sz w:val="24"/>
                          <w:szCs w:val="24"/>
                        </w:rPr>
                        <m:t>2</m:t>
                      </m:r>
                    </m:sub>
                    <m:sup>
                      <m:r>
                        <w:rPr>
                          <w:rFonts w:ascii="Cambria Math" w:hAnsi="Cambria Math" w:cs="Times New Roman"/>
                          <w:sz w:val="24"/>
                          <w:szCs w:val="24"/>
                        </w:rPr>
                        <m:t>2</m:t>
                      </m:r>
                    </m:sup>
                  </m:sSub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-2</m:t>
                  </m:r>
                </m:den>
              </m:f>
            </m:e>
          </m:rad>
        </m:oMath>
      </m:oMathPara>
    </w:p>
    <w:p w14:paraId="43E3DC94" w14:textId="77777777" w:rsidR="007C0160" w:rsidRDefault="007C0160" w:rsidP="007C0160">
      <w:pPr>
        <w:spacing w:line="480" w:lineRule="auto"/>
        <w:rPr>
          <w:rFonts w:ascii="Times New Roman" w:hAnsi="Times New Roman" w:cs="Times New Roman"/>
          <w:sz w:val="24"/>
          <w:szCs w:val="24"/>
        </w:rPr>
      </w:pPr>
      <w:r>
        <w:rPr>
          <w:rFonts w:ascii="Times New Roman" w:hAnsi="Times New Roman" w:cs="Times New Roman"/>
          <w:sz w:val="24"/>
          <w:szCs w:val="24"/>
        </w:rPr>
        <w:t>95% confidence intervals for the above effect size estimate were calculated as follows:</w:t>
      </w:r>
    </w:p>
    <w:p w14:paraId="1791E8D1" w14:textId="77777777" w:rsidR="007C0160" w:rsidRPr="00327D2B" w:rsidRDefault="00B35DD4" w:rsidP="007C0160">
      <w:pPr>
        <w:spacing w:line="480" w:lineRule="auto"/>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CI</m:t>
              </m:r>
            </m:e>
            <m:sub>
              <m:r>
                <w:rPr>
                  <w:rFonts w:ascii="Cambria Math" w:hAnsi="Cambria Math" w:cs="Times New Roman"/>
                  <w:sz w:val="24"/>
                  <w:szCs w:val="24"/>
                </w:rPr>
                <m:t>95</m:t>
              </m:r>
            </m:sub>
          </m:sSub>
          <m:r>
            <w:rPr>
              <w:rFonts w:ascii="Cambria Math" w:hAnsi="Cambria Math" w:cs="Times New Roman"/>
              <w:sz w:val="24"/>
              <w:szCs w:val="24"/>
            </w:rPr>
            <m:t>=g±(</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95</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se</m:t>
              </m:r>
            </m:e>
            <m:sub>
              <m:r>
                <w:rPr>
                  <w:rFonts w:ascii="Cambria Math" w:hAnsi="Cambria Math" w:cs="Times New Roman"/>
                  <w:sz w:val="24"/>
                  <w:szCs w:val="24"/>
                </w:rPr>
                <m:t>d</m:t>
              </m:r>
            </m:sub>
          </m:sSub>
          <m:r>
            <w:rPr>
              <w:rFonts w:ascii="Cambria Math" w:hAnsi="Cambria Math" w:cs="Times New Roman"/>
              <w:sz w:val="24"/>
              <w:szCs w:val="24"/>
            </w:rPr>
            <m:t>)</m:t>
          </m:r>
        </m:oMath>
      </m:oMathPara>
    </w:p>
    <w:p w14:paraId="539D659A" w14:textId="77777777" w:rsidR="007C0160" w:rsidRPr="00C47458" w:rsidRDefault="007C0160" w:rsidP="007C0160">
      <w:pPr>
        <w:spacing w:line="480" w:lineRule="auto"/>
        <w:rPr>
          <w:rFonts w:ascii="Times New Roman" w:hAnsi="Times New Roman" w:cs="Times New Roman"/>
          <w:sz w:val="24"/>
          <w:szCs w:val="24"/>
          <w:lang w:val="fi-FI"/>
        </w:rPr>
      </w:pPr>
      <w:r>
        <w:rPr>
          <w:rFonts w:ascii="Times New Roman" w:eastAsiaTheme="minorEastAsia" w:hAnsi="Times New Roman" w:cs="Times New Roman"/>
          <w:sz w:val="24"/>
          <w:szCs w:val="24"/>
        </w:rPr>
        <w:t>where</w:t>
      </w:r>
    </w:p>
    <w:p w14:paraId="584FB051" w14:textId="77777777" w:rsidR="007C0160" w:rsidRDefault="00B35DD4" w:rsidP="007C0160">
      <w:pPr>
        <w:spacing w:line="48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se</m:t>
              </m:r>
            </m:e>
            <m:sub>
              <m:r>
                <w:rPr>
                  <w:rFonts w:ascii="Cambria Math" w:hAnsi="Cambria Math" w:cs="Times New Roman"/>
                  <w:sz w:val="24"/>
                  <w:szCs w:val="24"/>
                </w:rPr>
                <m:t>d</m:t>
              </m:r>
            </m:sub>
          </m:sSub>
          <m:r>
            <w:rPr>
              <w:rFonts w:ascii="Cambria Math" w:hAnsi="Cambria Math" w:cs="Times New Roman"/>
              <w:sz w:val="24"/>
              <w:szCs w:val="24"/>
            </w:rPr>
            <m:t>=</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2</m:t>
                      </m:r>
                    </m:sup>
                  </m:sSup>
                </m:num>
                <m:den>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-2)</m:t>
                  </m:r>
                </m:den>
              </m:f>
            </m:e>
          </m:rad>
        </m:oMath>
      </m:oMathPara>
    </w:p>
    <w:p w14:paraId="042BF86F" w14:textId="77777777" w:rsidR="007C0160" w:rsidRPr="000C1E03" w:rsidRDefault="007C0160" w:rsidP="007C0160">
      <w:pPr>
        <w:spacing w:line="480" w:lineRule="auto"/>
        <w:rPr>
          <w:rFonts w:ascii="Times New Roman" w:hAnsi="Times New Roman" w:cs="Times New Roman"/>
          <w:sz w:val="24"/>
          <w:szCs w:val="24"/>
        </w:rPr>
      </w:pPr>
    </w:p>
    <w:p w14:paraId="25E6681B" w14:textId="77777777" w:rsidR="007C0160" w:rsidRDefault="007C0160" w:rsidP="007C0160">
      <w:pPr>
        <w:spacing w:line="480" w:lineRule="auto"/>
        <w:rPr>
          <w:rFonts w:ascii="Times New Roman" w:hAnsi="Times New Roman" w:cs="Times New Roman"/>
          <w:sz w:val="24"/>
          <w:szCs w:val="24"/>
        </w:rPr>
      </w:pPr>
    </w:p>
    <w:p w14:paraId="1334ACFA" w14:textId="77777777" w:rsidR="007C0160" w:rsidRDefault="007C0160" w:rsidP="007C0160">
      <w:pPr>
        <w:spacing w:line="480" w:lineRule="auto"/>
        <w:rPr>
          <w:rFonts w:ascii="Times New Roman" w:hAnsi="Times New Roman" w:cs="Times New Roman"/>
          <w:sz w:val="24"/>
          <w:szCs w:val="24"/>
        </w:rPr>
      </w:pPr>
    </w:p>
    <w:p w14:paraId="66DCAC23" w14:textId="77777777" w:rsidR="007C0160" w:rsidRDefault="007C0160" w:rsidP="007C0160">
      <w:pPr>
        <w:spacing w:line="480" w:lineRule="auto"/>
        <w:rPr>
          <w:rFonts w:ascii="Times New Roman" w:hAnsi="Times New Roman" w:cs="Times New Roman"/>
          <w:sz w:val="24"/>
          <w:szCs w:val="24"/>
        </w:rPr>
      </w:pPr>
    </w:p>
    <w:p w14:paraId="3AC4B932" w14:textId="77777777" w:rsidR="007C0160" w:rsidRDefault="007C0160" w:rsidP="007C0160">
      <w:pPr>
        <w:spacing w:line="480" w:lineRule="auto"/>
        <w:rPr>
          <w:rFonts w:ascii="Times New Roman" w:hAnsi="Times New Roman" w:cs="Times New Roman"/>
          <w:sz w:val="24"/>
          <w:szCs w:val="24"/>
        </w:rPr>
      </w:pPr>
    </w:p>
    <w:p w14:paraId="28017E05" w14:textId="77777777" w:rsidR="007C0160" w:rsidRDefault="007C0160" w:rsidP="007C0160">
      <w:pPr>
        <w:spacing w:line="480" w:lineRule="auto"/>
        <w:rPr>
          <w:rFonts w:ascii="Times New Roman" w:hAnsi="Times New Roman" w:cs="Times New Roman"/>
          <w:sz w:val="24"/>
          <w:szCs w:val="24"/>
        </w:rPr>
      </w:pPr>
    </w:p>
    <w:p w14:paraId="5C4C4AE6" w14:textId="77777777" w:rsidR="00465F08" w:rsidRDefault="00465F08" w:rsidP="007C016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effect size for within-subjects effect was calculated with the unbiased estimate of the mean difference as follows:</w:t>
      </w:r>
    </w:p>
    <w:p w14:paraId="75E24586" w14:textId="77777777" w:rsidR="007C0160" w:rsidRPr="00C323DE" w:rsidRDefault="007C0160" w:rsidP="007C0160">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Hedge</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av</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av</m:t>
              </m:r>
            </m:sub>
          </m:sSub>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4</m:t>
              </m:r>
              <m:d>
                <m:dPr>
                  <m:ctrlPr>
                    <w:rPr>
                      <w:rFonts w:ascii="Cambria Math" w:hAnsi="Cambria Math" w:cs="Times New Roman"/>
                      <w:i/>
                      <w:sz w:val="24"/>
                      <w:szCs w:val="24"/>
                    </w:rPr>
                  </m:ctrlPr>
                </m:dPr>
                <m:e>
                  <m:r>
                    <w:rPr>
                      <w:rFonts w:ascii="Cambria Math" w:hAnsi="Cambria Math" w:cs="Times New Roman"/>
                      <w:sz w:val="24"/>
                      <w:szCs w:val="24"/>
                    </w:rPr>
                    <m:t>n</m:t>
                  </m:r>
                </m:e>
              </m:d>
              <m:r>
                <w:rPr>
                  <w:rFonts w:ascii="Cambria Math" w:hAnsi="Cambria Math" w:cs="Times New Roman"/>
                  <w:sz w:val="24"/>
                  <w:szCs w:val="24"/>
                </w:rPr>
                <m:t>-9</m:t>
              </m:r>
            </m:den>
          </m:f>
          <m:r>
            <w:rPr>
              <w:rFonts w:ascii="Cambria Math" w:hAnsi="Cambria Math" w:cs="Times New Roman"/>
              <w:sz w:val="24"/>
              <w:szCs w:val="24"/>
            </w:rPr>
            <m:t>)</m:t>
          </m:r>
        </m:oMath>
      </m:oMathPara>
    </w:p>
    <w:p w14:paraId="04921C12" w14:textId="77777777" w:rsidR="007C0160" w:rsidRPr="00C323DE" w:rsidRDefault="007C0160" w:rsidP="007C0160">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where</w:t>
      </w:r>
    </w:p>
    <w:p w14:paraId="744B91B6" w14:textId="77777777" w:rsidR="007C0160" w:rsidRPr="00B239B6" w:rsidRDefault="00B35DD4" w:rsidP="007C0160">
      <w:pPr>
        <w:spacing w:line="480" w:lineRule="auto"/>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av</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diff</m:t>
                  </m:r>
                </m:sub>
              </m:sSub>
            </m:num>
            <m:den>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SD</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SD</m:t>
                      </m:r>
                    </m:e>
                    <m:sub>
                      <m:r>
                        <w:rPr>
                          <w:rFonts w:ascii="Cambria Math" w:hAnsi="Cambria Math" w:cs="Times New Roman"/>
                          <w:sz w:val="24"/>
                          <w:szCs w:val="24"/>
                        </w:rPr>
                        <m:t>2</m:t>
                      </m:r>
                    </m:sub>
                  </m:sSub>
                </m:num>
                <m:den>
                  <m:r>
                    <w:rPr>
                      <w:rFonts w:ascii="Cambria Math" w:hAnsi="Cambria Math" w:cs="Times New Roman"/>
                      <w:sz w:val="24"/>
                      <w:szCs w:val="24"/>
                    </w:rPr>
                    <m:t>2</m:t>
                  </m:r>
                </m:den>
              </m:f>
            </m:den>
          </m:f>
        </m:oMath>
      </m:oMathPara>
    </w:p>
    <w:p w14:paraId="1221F5A5" w14:textId="77777777" w:rsidR="007C0160" w:rsidRDefault="007C0160" w:rsidP="007C0160">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95% confidence interval for the above effect size estimate was calculated as follows</w:t>
      </w:r>
    </w:p>
    <w:p w14:paraId="3BD97E9A" w14:textId="77777777" w:rsidR="007C0160" w:rsidRPr="00B239B6" w:rsidRDefault="00B35DD4" w:rsidP="007C0160">
      <w:pPr>
        <w:spacing w:line="480" w:lineRule="auto"/>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CI</m:t>
              </m:r>
            </m:e>
            <m:sub>
              <m:r>
                <w:rPr>
                  <w:rFonts w:ascii="Cambria Math" w:hAnsi="Cambria Math" w:cs="Times New Roman"/>
                  <w:sz w:val="24"/>
                  <w:szCs w:val="24"/>
                </w:rPr>
                <m:t>95</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av</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95</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se</m:t>
              </m:r>
            </m:e>
            <m:sub>
              <m:r>
                <w:rPr>
                  <w:rFonts w:ascii="Cambria Math" w:hAnsi="Cambria Math" w:cs="Times New Roman"/>
                  <w:sz w:val="24"/>
                  <w:szCs w:val="24"/>
                </w:rPr>
                <m:t>diff</m:t>
              </m:r>
            </m:sub>
          </m:sSub>
          <m:r>
            <w:rPr>
              <w:rFonts w:ascii="Cambria Math" w:hAnsi="Cambria Math" w:cs="Times New Roman"/>
              <w:sz w:val="24"/>
              <w:szCs w:val="24"/>
            </w:rPr>
            <m:t>)</m:t>
          </m:r>
        </m:oMath>
      </m:oMathPara>
    </w:p>
    <w:p w14:paraId="21DAB49C" w14:textId="77777777" w:rsidR="007C0160" w:rsidRDefault="007C0160" w:rsidP="007C0160">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where</w:t>
      </w:r>
    </w:p>
    <w:p w14:paraId="5E4F9644" w14:textId="77777777" w:rsidR="007C0160" w:rsidRPr="0045552C" w:rsidRDefault="00B35DD4" w:rsidP="007C0160">
      <w:pPr>
        <w:spacing w:line="480" w:lineRule="auto"/>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se</m:t>
              </m:r>
            </m:e>
            <m:sub>
              <m:r>
                <w:rPr>
                  <w:rFonts w:ascii="Cambria Math" w:hAnsi="Cambria Math" w:cs="Times New Roman"/>
                  <w:sz w:val="24"/>
                  <w:szCs w:val="24"/>
                </w:rPr>
                <m:t>diff</m:t>
              </m:r>
            </m:sub>
          </m:sSub>
          <m:r>
            <w:rPr>
              <w:rFonts w:ascii="Cambria Math" w:hAnsi="Cambria Math" w:cs="Times New Roman"/>
              <w:sz w:val="24"/>
              <w:szCs w:val="24"/>
            </w:rPr>
            <m:t>=</m:t>
          </m:r>
          <m:rad>
            <m:radPr>
              <m:degHide m:val="1"/>
              <m:ctrlPr>
                <w:rPr>
                  <w:rFonts w:ascii="Cambria Math" w:hAnsi="Cambria Math" w:cs="Times New Roman"/>
                  <w:i/>
                  <w:sz w:val="24"/>
                  <w:szCs w:val="24"/>
                </w:rPr>
              </m:ctrlPr>
            </m:rad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SD</m:t>
                          </m:r>
                        </m:e>
                        <m:sub>
                          <m:r>
                            <w:rPr>
                              <w:rFonts w:ascii="Cambria Math" w:hAnsi="Cambria Math" w:cs="Times New Roman"/>
                              <w:sz w:val="24"/>
                              <w:szCs w:val="24"/>
                            </w:rPr>
                            <m:t>1</m:t>
                          </m:r>
                        </m:sub>
                        <m:sup>
                          <m:r>
                            <w:rPr>
                              <w:rFonts w:ascii="Cambria Math" w:hAnsi="Cambria Math" w:cs="Times New Roman"/>
                              <w:sz w:val="24"/>
                              <w:szCs w:val="24"/>
                            </w:rPr>
                            <m:t>2</m:t>
                          </m:r>
                        </m:sup>
                      </m:sSubSup>
                    </m:num>
                    <m:den>
                      <m:r>
                        <w:rPr>
                          <w:rFonts w:ascii="Cambria Math" w:hAnsi="Cambria Math" w:cs="Times New Roman"/>
                          <w:sz w:val="24"/>
                          <w:szCs w:val="24"/>
                        </w:rPr>
                        <m:t>n</m:t>
                      </m:r>
                    </m:den>
                  </m:f>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SD</m:t>
                          </m:r>
                        </m:e>
                        <m:sub>
                          <m:r>
                            <w:rPr>
                              <w:rFonts w:ascii="Cambria Math" w:hAnsi="Cambria Math" w:cs="Times New Roman"/>
                              <w:sz w:val="24"/>
                              <w:szCs w:val="24"/>
                            </w:rPr>
                            <m:t>2</m:t>
                          </m:r>
                        </m:sub>
                        <m:sup>
                          <m:r>
                            <w:rPr>
                              <w:rFonts w:ascii="Cambria Math" w:hAnsi="Cambria Math" w:cs="Times New Roman"/>
                              <w:sz w:val="24"/>
                              <w:szCs w:val="24"/>
                            </w:rPr>
                            <m:t>2</m:t>
                          </m:r>
                        </m:sup>
                      </m:sSubSup>
                    </m:num>
                    <m:den>
                      <m:r>
                        <w:rPr>
                          <w:rFonts w:ascii="Cambria Math" w:hAnsi="Cambria Math" w:cs="Times New Roman"/>
                          <w:sz w:val="24"/>
                          <w:szCs w:val="24"/>
                        </w:rPr>
                        <m:t>n</m:t>
                      </m:r>
                    </m:den>
                  </m:f>
                </m:e>
              </m:d>
              <m:r>
                <w:rPr>
                  <w:rFonts w:ascii="Cambria Math" w:hAnsi="Cambria Math" w:cs="Times New Roman"/>
                  <w:sz w:val="24"/>
                  <w:szCs w:val="24"/>
                </w:rPr>
                <m:t>-2×r×</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SD</m:t>
                          </m:r>
                        </m:e>
                        <m:sub>
                          <m:r>
                            <w:rPr>
                              <w:rFonts w:ascii="Cambria Math" w:hAnsi="Cambria Math" w:cs="Times New Roman"/>
                              <w:sz w:val="24"/>
                              <w:szCs w:val="24"/>
                            </w:rPr>
                            <m:t>1</m:t>
                          </m:r>
                        </m:sub>
                      </m:sSub>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SD</m:t>
                          </m:r>
                        </m:e>
                        <m:sub>
                          <m:r>
                            <w:rPr>
                              <w:rFonts w:ascii="Cambria Math" w:hAnsi="Cambria Math" w:cs="Times New Roman"/>
                              <w:sz w:val="24"/>
                              <w:szCs w:val="24"/>
                            </w:rPr>
                            <m:t>2</m:t>
                          </m:r>
                        </m:sub>
                      </m:sSub>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e>
              </m:d>
            </m:e>
          </m:rad>
        </m:oMath>
      </m:oMathPara>
    </w:p>
    <w:p w14:paraId="2E44A77D" w14:textId="77777777" w:rsidR="00C818F1" w:rsidRDefault="00C818F1"/>
    <w:p w14:paraId="1ADA38C2" w14:textId="77777777" w:rsidR="007C0160" w:rsidRDefault="007C0160"/>
    <w:p w14:paraId="40C035DB" w14:textId="77777777" w:rsidR="007C0160" w:rsidRDefault="007C0160"/>
    <w:p w14:paraId="28DEE20F" w14:textId="77777777" w:rsidR="007C0160" w:rsidRDefault="007C0160"/>
    <w:p w14:paraId="09932894" w14:textId="77777777" w:rsidR="007C0160" w:rsidRDefault="007C0160"/>
    <w:p w14:paraId="6D88620C" w14:textId="77777777" w:rsidR="00465F08" w:rsidRDefault="00465F08"/>
    <w:p w14:paraId="24264D9D" w14:textId="77777777" w:rsidR="00465F08" w:rsidRDefault="00465F08"/>
    <w:p w14:paraId="6C7C3F33" w14:textId="77777777" w:rsidR="00465F08" w:rsidRDefault="00465F08"/>
    <w:p w14:paraId="75916615" w14:textId="77777777" w:rsidR="00465F08" w:rsidRDefault="00465F08"/>
    <w:p w14:paraId="66063CD2" w14:textId="77777777" w:rsidR="00465F08" w:rsidRDefault="00465F08"/>
    <w:p w14:paraId="2F39426E" w14:textId="77777777" w:rsidR="000C4651" w:rsidRDefault="000C4651"/>
    <w:p w14:paraId="64E15702" w14:textId="77777777" w:rsidR="000C4651" w:rsidRDefault="000C4651"/>
    <w:p w14:paraId="1858349C" w14:textId="23A1A963" w:rsidR="007C0160" w:rsidRDefault="00BB7705" w:rsidP="000C4651">
      <w:pPr>
        <w:pStyle w:val="Heading1"/>
        <w:rPr>
          <w:rFonts w:ascii="Times New Roman" w:hAnsi="Times New Roman" w:cs="Times New Roman"/>
          <w:b/>
          <w:sz w:val="28"/>
          <w:szCs w:val="28"/>
        </w:rPr>
      </w:pPr>
      <w:bookmarkStart w:id="7" w:name="_Toc77951145"/>
      <w:r w:rsidRPr="000C4651">
        <w:rPr>
          <w:rFonts w:ascii="Times New Roman" w:hAnsi="Times New Roman" w:cs="Times New Roman"/>
          <w:b/>
          <w:sz w:val="28"/>
          <w:szCs w:val="28"/>
        </w:rPr>
        <w:lastRenderedPageBreak/>
        <w:t>Qualitative synthesis</w:t>
      </w:r>
      <w:bookmarkEnd w:id="7"/>
    </w:p>
    <w:p w14:paraId="0BEBF9C2" w14:textId="77777777" w:rsidR="000C4651" w:rsidRPr="000C4651" w:rsidRDefault="000C4651" w:rsidP="000C4651"/>
    <w:p w14:paraId="0AE702DE" w14:textId="081568C7" w:rsidR="00465F08" w:rsidRPr="00DC220E" w:rsidRDefault="00BB7705" w:rsidP="00465F08">
      <w:pPr>
        <w:spacing w:line="480" w:lineRule="auto"/>
        <w:rPr>
          <w:rFonts w:ascii="Times New Roman" w:hAnsi="Times New Roman" w:cs="Times New Roman"/>
          <w:sz w:val="24"/>
          <w:szCs w:val="24"/>
        </w:rPr>
      </w:pPr>
      <w:r w:rsidRPr="00DC220E">
        <w:rPr>
          <w:rFonts w:ascii="Times New Roman" w:hAnsi="Times New Roman" w:cs="Times New Roman"/>
          <w:sz w:val="24"/>
          <w:szCs w:val="24"/>
        </w:rPr>
        <w:t>The qualitative synthesis of treatment pro</w:t>
      </w:r>
      <w:r>
        <w:rPr>
          <w:rFonts w:ascii="Times New Roman" w:hAnsi="Times New Roman" w:cs="Times New Roman"/>
          <w:sz w:val="24"/>
          <w:szCs w:val="24"/>
        </w:rPr>
        <w:t>cesses included all studies (n=</w:t>
      </w:r>
      <w:r w:rsidR="00465F08">
        <w:rPr>
          <w:rFonts w:ascii="Times New Roman" w:hAnsi="Times New Roman" w:cs="Times New Roman"/>
          <w:sz w:val="24"/>
          <w:szCs w:val="24"/>
        </w:rPr>
        <w:t>7)</w:t>
      </w:r>
      <w:r w:rsidRPr="00DC220E">
        <w:rPr>
          <w:rFonts w:ascii="Times New Roman" w:hAnsi="Times New Roman" w:cs="Times New Roman"/>
          <w:sz w:val="24"/>
          <w:szCs w:val="24"/>
        </w:rPr>
        <w:t xml:space="preserve"> that evaluated </w:t>
      </w:r>
      <w:r w:rsidR="00465F08">
        <w:rPr>
          <w:rFonts w:ascii="Times New Roman" w:hAnsi="Times New Roman" w:cs="Times New Roman"/>
          <w:sz w:val="24"/>
          <w:szCs w:val="24"/>
        </w:rPr>
        <w:t>intervention treatment processes</w:t>
      </w:r>
      <w:r w:rsidRPr="00DC220E">
        <w:rPr>
          <w:rFonts w:ascii="Times New Roman" w:hAnsi="Times New Roman" w:cs="Times New Roman"/>
          <w:sz w:val="24"/>
          <w:szCs w:val="24"/>
        </w:rPr>
        <w:t xml:space="preserve"> </w:t>
      </w:r>
      <w:r w:rsidR="00465F08">
        <w:rPr>
          <w:rFonts w:ascii="Times New Roman" w:hAnsi="Times New Roman" w:cs="Times New Roman"/>
          <w:sz w:val="24"/>
          <w:szCs w:val="24"/>
        </w:rPr>
        <w:t xml:space="preserve">with qualitative methods. </w:t>
      </w:r>
      <w:r w:rsidR="00465F08" w:rsidRPr="00DC220E">
        <w:rPr>
          <w:rFonts w:ascii="Times New Roman" w:hAnsi="Times New Roman" w:cs="Times New Roman"/>
          <w:sz w:val="24"/>
          <w:szCs w:val="24"/>
        </w:rPr>
        <w:t xml:space="preserve">This part of the systematic review was approached by systematically </w:t>
      </w:r>
      <w:r w:rsidR="00465F08">
        <w:rPr>
          <w:rFonts w:ascii="Times New Roman" w:hAnsi="Times New Roman" w:cs="Times New Roman"/>
          <w:sz w:val="24"/>
          <w:szCs w:val="24"/>
        </w:rPr>
        <w:t>extracting</w:t>
      </w:r>
      <w:r w:rsidR="00465F08" w:rsidRPr="00DC220E">
        <w:rPr>
          <w:rFonts w:ascii="Times New Roman" w:hAnsi="Times New Roman" w:cs="Times New Roman"/>
          <w:sz w:val="24"/>
          <w:szCs w:val="24"/>
        </w:rPr>
        <w:t xml:space="preserve"> the key concepts evident in each study</w:t>
      </w:r>
      <w:r w:rsidR="00465F08">
        <w:rPr>
          <w:rFonts w:ascii="Times New Roman" w:hAnsi="Times New Roman" w:cs="Times New Roman"/>
          <w:sz w:val="24"/>
          <w:szCs w:val="24"/>
        </w:rPr>
        <w:t xml:space="preserve"> which provided content pertinent to understanding treat</w:t>
      </w:r>
      <w:r w:rsidR="0005642A">
        <w:rPr>
          <w:rFonts w:ascii="Times New Roman" w:hAnsi="Times New Roman" w:cs="Times New Roman"/>
          <w:sz w:val="24"/>
          <w:szCs w:val="24"/>
        </w:rPr>
        <w:t>ment processes</w:t>
      </w:r>
      <w:r w:rsidR="00465F08" w:rsidRPr="00DC220E">
        <w:rPr>
          <w:rFonts w:ascii="Times New Roman" w:hAnsi="Times New Roman" w:cs="Times New Roman"/>
          <w:sz w:val="24"/>
          <w:szCs w:val="24"/>
        </w:rPr>
        <w:t>. Th</w:t>
      </w:r>
      <w:r w:rsidR="00465F08">
        <w:rPr>
          <w:rFonts w:ascii="Times New Roman" w:hAnsi="Times New Roman" w:cs="Times New Roman"/>
          <w:sz w:val="24"/>
          <w:szCs w:val="24"/>
        </w:rPr>
        <w:t>is was approached by extracting</w:t>
      </w:r>
      <w:r w:rsidR="00465F08" w:rsidRPr="00DC220E">
        <w:rPr>
          <w:rFonts w:ascii="Times New Roman" w:hAnsi="Times New Roman" w:cs="Times New Roman"/>
          <w:sz w:val="24"/>
          <w:szCs w:val="24"/>
        </w:rPr>
        <w:t xml:space="preserve"> second ord</w:t>
      </w:r>
      <w:r w:rsidR="00465F08">
        <w:rPr>
          <w:rFonts w:ascii="Times New Roman" w:hAnsi="Times New Roman" w:cs="Times New Roman"/>
          <w:sz w:val="24"/>
          <w:szCs w:val="24"/>
        </w:rPr>
        <w:t>er constructs (i.e.</w:t>
      </w:r>
      <w:r w:rsidR="00465F08" w:rsidRPr="00DC220E">
        <w:rPr>
          <w:rFonts w:ascii="Times New Roman" w:hAnsi="Times New Roman" w:cs="Times New Roman"/>
          <w:sz w:val="24"/>
          <w:szCs w:val="24"/>
        </w:rPr>
        <w:t xml:space="preserve"> those interpreted by study authors</w:t>
      </w:r>
      <w:r w:rsidR="00465F08">
        <w:rPr>
          <w:rFonts w:ascii="Times New Roman" w:hAnsi="Times New Roman" w:cs="Times New Roman"/>
          <w:sz w:val="24"/>
          <w:szCs w:val="24"/>
        </w:rPr>
        <w:t>)</w:t>
      </w:r>
      <w:r w:rsidR="00465F08" w:rsidRPr="00DC220E">
        <w:rPr>
          <w:rFonts w:ascii="Times New Roman" w:hAnsi="Times New Roman" w:cs="Times New Roman"/>
          <w:sz w:val="24"/>
          <w:szCs w:val="24"/>
        </w:rPr>
        <w:t>.</w:t>
      </w:r>
      <w:r w:rsidR="00465F08">
        <w:rPr>
          <w:rFonts w:ascii="Times New Roman" w:hAnsi="Times New Roman" w:cs="Times New Roman"/>
          <w:sz w:val="24"/>
          <w:szCs w:val="24"/>
        </w:rPr>
        <w:t xml:space="preserve"> Terminology used in reports was retained in the data extraction phase.</w:t>
      </w:r>
    </w:p>
    <w:p w14:paraId="5B65A8FB" w14:textId="0E4D2F22" w:rsidR="00465F08" w:rsidRDefault="00465F08" w:rsidP="00BB7705">
      <w:pPr>
        <w:spacing w:line="480" w:lineRule="auto"/>
        <w:rPr>
          <w:rFonts w:ascii="Times New Roman" w:hAnsi="Times New Roman" w:cs="Times New Roman"/>
          <w:sz w:val="24"/>
          <w:szCs w:val="24"/>
        </w:rPr>
      </w:pPr>
      <w:r w:rsidRPr="00DC220E">
        <w:rPr>
          <w:rFonts w:ascii="Times New Roman" w:hAnsi="Times New Roman" w:cs="Times New Roman"/>
          <w:sz w:val="24"/>
          <w:szCs w:val="24"/>
        </w:rPr>
        <w:t xml:space="preserve">Subsequently </w:t>
      </w:r>
      <w:r>
        <w:rPr>
          <w:rFonts w:ascii="Times New Roman" w:hAnsi="Times New Roman" w:cs="Times New Roman"/>
          <w:sz w:val="24"/>
          <w:szCs w:val="24"/>
        </w:rPr>
        <w:t>extracted</w:t>
      </w:r>
      <w:r w:rsidRPr="00DC220E">
        <w:rPr>
          <w:rFonts w:ascii="Times New Roman" w:hAnsi="Times New Roman" w:cs="Times New Roman"/>
          <w:sz w:val="24"/>
          <w:szCs w:val="24"/>
        </w:rPr>
        <w:t xml:space="preserve"> data was categorized according to the elements of the SSCS model</w:t>
      </w:r>
      <w:r>
        <w:rPr>
          <w:rFonts w:ascii="Times New Roman" w:hAnsi="Times New Roman" w:cs="Times New Roman"/>
          <w:sz w:val="24"/>
          <w:szCs w:val="24"/>
        </w:rPr>
        <w:t>, first within studies, and then across studies</w:t>
      </w:r>
      <w:r w:rsidRPr="00DC220E">
        <w:rPr>
          <w:rFonts w:ascii="Times New Roman" w:hAnsi="Times New Roman" w:cs="Times New Roman"/>
          <w:sz w:val="24"/>
          <w:szCs w:val="24"/>
        </w:rPr>
        <w:t xml:space="preserve">. </w:t>
      </w:r>
      <w:r w:rsidR="0005642A">
        <w:rPr>
          <w:rFonts w:ascii="Times New Roman" w:hAnsi="Times New Roman" w:cs="Times New Roman"/>
          <w:sz w:val="24"/>
          <w:szCs w:val="24"/>
        </w:rPr>
        <w:t>An additional category</w:t>
      </w:r>
      <w:r w:rsidRPr="00DC220E">
        <w:rPr>
          <w:rFonts w:ascii="Times New Roman" w:hAnsi="Times New Roman" w:cs="Times New Roman"/>
          <w:sz w:val="24"/>
          <w:szCs w:val="24"/>
        </w:rPr>
        <w:t xml:space="preserve"> for </w:t>
      </w:r>
      <w:r w:rsidRPr="00DC220E">
        <w:rPr>
          <w:rFonts w:ascii="Times New Roman" w:hAnsi="Times New Roman" w:cs="Times New Roman"/>
          <w:i/>
          <w:sz w:val="24"/>
          <w:szCs w:val="24"/>
        </w:rPr>
        <w:t>communication</w:t>
      </w:r>
      <w:r w:rsidRPr="00DC220E">
        <w:rPr>
          <w:rFonts w:ascii="Times New Roman" w:hAnsi="Times New Roman" w:cs="Times New Roman"/>
          <w:sz w:val="24"/>
          <w:szCs w:val="24"/>
        </w:rPr>
        <w:t xml:space="preserve"> </w:t>
      </w:r>
      <w:r w:rsidR="0005642A">
        <w:rPr>
          <w:rFonts w:ascii="Times New Roman" w:hAnsi="Times New Roman" w:cs="Times New Roman"/>
          <w:sz w:val="24"/>
          <w:szCs w:val="24"/>
        </w:rPr>
        <w:t xml:space="preserve">was </w:t>
      </w:r>
      <w:r w:rsidRPr="00DC220E">
        <w:rPr>
          <w:rFonts w:ascii="Times New Roman" w:hAnsi="Times New Roman" w:cs="Times New Roman"/>
          <w:sz w:val="24"/>
          <w:szCs w:val="24"/>
        </w:rPr>
        <w:t xml:space="preserve">utilized, </w:t>
      </w:r>
      <w:r w:rsidR="0005642A">
        <w:rPr>
          <w:rFonts w:ascii="Times New Roman" w:hAnsi="Times New Roman" w:cs="Times New Roman"/>
          <w:sz w:val="24"/>
          <w:szCs w:val="24"/>
        </w:rPr>
        <w:t xml:space="preserve">and further categories created </w:t>
      </w:r>
      <w:r w:rsidRPr="00DC220E">
        <w:rPr>
          <w:rFonts w:ascii="Times New Roman" w:hAnsi="Times New Roman" w:cs="Times New Roman"/>
          <w:sz w:val="24"/>
          <w:szCs w:val="24"/>
        </w:rPr>
        <w:t>w</w:t>
      </w:r>
      <w:r>
        <w:rPr>
          <w:rFonts w:ascii="Times New Roman" w:hAnsi="Times New Roman" w:cs="Times New Roman"/>
          <w:sz w:val="24"/>
          <w:szCs w:val="24"/>
        </w:rPr>
        <w:t>h</w:t>
      </w:r>
      <w:r w:rsidR="0005642A">
        <w:rPr>
          <w:rFonts w:ascii="Times New Roman" w:hAnsi="Times New Roman" w:cs="Times New Roman"/>
          <w:sz w:val="24"/>
          <w:szCs w:val="24"/>
        </w:rPr>
        <w:t>en</w:t>
      </w:r>
      <w:r w:rsidRPr="00DC220E">
        <w:rPr>
          <w:rFonts w:ascii="Times New Roman" w:hAnsi="Times New Roman" w:cs="Times New Roman"/>
          <w:sz w:val="24"/>
          <w:szCs w:val="24"/>
        </w:rPr>
        <w:t xml:space="preserve"> the initial categories were insufficient.</w:t>
      </w:r>
    </w:p>
    <w:p w14:paraId="4215E559" w14:textId="401970D3" w:rsidR="008D4CBC" w:rsidRDefault="008D4CBC" w:rsidP="008D4CBC">
      <w:pPr>
        <w:pStyle w:val="Heading2"/>
      </w:pPr>
      <w:bookmarkStart w:id="8" w:name="_Toc77951146"/>
      <w:r>
        <w:t>Qualitative synthesis results elaborated</w:t>
      </w:r>
      <w:bookmarkEnd w:id="8"/>
    </w:p>
    <w:p w14:paraId="2B0A3262" w14:textId="413BAA60" w:rsidR="008D4CBC" w:rsidRDefault="008D4CBC" w:rsidP="008D4CBC"/>
    <w:p w14:paraId="4D11796D" w14:textId="5460EEB4" w:rsidR="008D4CBC" w:rsidRPr="008D4CBC" w:rsidRDefault="008D4CBC" w:rsidP="008D4CBC">
      <w:pPr>
        <w:spacing w:line="480" w:lineRule="auto"/>
        <w:rPr>
          <w:rFonts w:ascii="Times New Roman" w:hAnsi="Times New Roman" w:cs="Times New Roman"/>
          <w:sz w:val="24"/>
          <w:szCs w:val="24"/>
        </w:rPr>
      </w:pPr>
      <w:r w:rsidRPr="008D4CBC">
        <w:rPr>
          <w:rFonts w:ascii="Times New Roman" w:hAnsi="Times New Roman" w:cs="Times New Roman"/>
          <w:sz w:val="24"/>
          <w:szCs w:val="24"/>
        </w:rPr>
        <w:t xml:space="preserve">All reports contributing to this synthesis utilized interventions directed towards dyads, where treatment was either given conjointly (CCT, ICT-PG) or separately (Standard treatment, BCT) to both </w:t>
      </w:r>
      <w:r>
        <w:rPr>
          <w:rFonts w:ascii="Times New Roman" w:hAnsi="Times New Roman" w:cs="Times New Roman"/>
          <w:sz w:val="24"/>
          <w:szCs w:val="24"/>
        </w:rPr>
        <w:t xml:space="preserve">members. Due to study methods, </w:t>
      </w:r>
      <w:r w:rsidRPr="008D4CBC">
        <w:rPr>
          <w:rFonts w:ascii="Times New Roman" w:hAnsi="Times New Roman" w:cs="Times New Roman"/>
          <w:sz w:val="24"/>
          <w:szCs w:val="24"/>
        </w:rPr>
        <w:t>one of the CCT studies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{"citationItems":[{"id":"ITEM-1","itemData":{"author":[{"dropping-particle":"","family":"Shi","given":"Yanjun","non-dropping-particle":"","parse-names":false,"suffix":""}],"id":"ITEM-1","issued":{"date-parts":[["2021"]]},"number-of-pages":"1-272","publisher":"University of Lethbridge","title":"Couples' perspectives in congruence couple therapy and treatment as usual: A service-user engagement study","type":"thesis"},"uris":["http://www.mendeley.com/documents/?uuid=32ec6730-c456-4db2-a946-6dadf7ff4b3f"]}],"mendeley":{"formattedCitation":"(Shi, 2021)","plainTextFormattedCitation":"(Shi, 2021)","previouslyFormattedCitation":"(Shi, 2021)"},"properties":{"noteIndex":0},"schema":"https://github.com/citation-style-language/schema/raw/master/csl-citation.json"}</w:instrText>
      </w:r>
      <w:r>
        <w:rPr>
          <w:rFonts w:ascii="Times New Roman" w:hAnsi="Times New Roman" w:cs="Times New Roman"/>
          <w:sz w:val="24"/>
          <w:szCs w:val="24"/>
        </w:rPr>
        <w:fldChar w:fldCharType="separate"/>
      </w:r>
      <w:r w:rsidRPr="008D4CBC">
        <w:rPr>
          <w:rFonts w:ascii="Times New Roman" w:hAnsi="Times New Roman" w:cs="Times New Roman"/>
          <w:noProof/>
          <w:sz w:val="24"/>
          <w:szCs w:val="24"/>
        </w:rPr>
        <w:t>(Shi, 2021)</w:t>
      </w:r>
      <w:r>
        <w:rPr>
          <w:rFonts w:ascii="Times New Roman" w:hAnsi="Times New Roman" w:cs="Times New Roman"/>
          <w:sz w:val="24"/>
          <w:szCs w:val="24"/>
        </w:rPr>
        <w:fldChar w:fldCharType="end"/>
      </w:r>
      <w:r w:rsidRPr="008D4CBC">
        <w:rPr>
          <w:rFonts w:ascii="Times New Roman" w:hAnsi="Times New Roman" w:cs="Times New Roman"/>
          <w:sz w:val="24"/>
          <w:szCs w:val="24"/>
        </w:rPr>
        <w:t xml:space="preserve"> and the ICT-</w:t>
      </w:r>
      <w:r>
        <w:rPr>
          <w:rFonts w:ascii="Times New Roman" w:hAnsi="Times New Roman" w:cs="Times New Roman"/>
          <w:sz w:val="24"/>
          <w:szCs w:val="24"/>
        </w:rPr>
        <w:t>PG study</w:t>
      </w:r>
      <w:r w:rsidRPr="008D4CBC">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{"citationItems":[{"id":"ITEM-1","itemData":{"DOI":"10.3389/fpsyg.2017.02344","ISSN":"16641078","abstract":"Context: Couple treatment for pathological gambling is an innovative strategy. There are some results supporting its potential effectiveness, but little is known about the subjective experiences of the participants. Objective: The aim of this article is to document the experiences of gamblers and their partners participating in one of two treatments, namely individual or couple. Method: In a study aiming to evaluate the efficacy of the Integrative Couple Treatment for Pathological Gambling (ICT-PG), couples who were entering specialized treatment for the addiction of one member who was a pathological gambler were randomly assigned to individual or ICT-PG. Nine months after their admission to treatment, gamblers and partners (n = 21 couples; n = 13 ICT-PG; n = 8 individual treatment) were interviewed in semi-structured interviews. A sequenced thematization method was used to extract the major themes. Results: This study highlighted five major themes in the therapeutic process noted by the gamblers and their partners mainly after the couple treatment but also partly through the individual therapy. These were: (1) the gamblers' anxiety about having to reveal their gambling problems in couple therapy; (2) the wish to develop a mutually beneficial understanding of gambling and its effects on the partners in the two types of treatments; (3) the transformation of negative attributions through a more effective intra-couple communication fostered by the couple therapy; (4) the partners' contribution to changes in gambling behavior and prevention of relapses, which were both better supported in couple therapy; and (5) the interpersonal nature of gambling and its connections with the couples' relationship. However, gamblers who were in individual treatment were more likely to mention that their partners' involvement was not necessary. Participants likewise made a few recommendations about the conditions underlying the choice of one treatment method or the other. Discussion: Participants reported satisfaction with both treatment models, but their experience was more positive in couple treatment. Complementary benefits emerged from each form of treatment, which points to future treatments involving both types. Future research should explore both the couple processes associated with attempts to stop pathological gambling and the various ways of involving partners in the gamblers' treatment.","author":[{"dropping-particle":"","family":"Tremblay","given":"Joël","non-dropping-particle":"","parse-names":false,"suffix":""},{"dropping-particle":"","family":"Dufour","given":"Magali","non-dropping-particle":"","parse-names":false,"suffix":""},{"dropping-particle":"","family":"Bertrand","given":"Karine","non-dropping-particle":"","parse-names":false,"suffix":""},{"dropping-particle":"","family":"Blanchette-Martin","given":"Nadine","non-dropping-particle":"","parse-names":false,"suffix":""},{"dropping-particle":"","family":"Ferland","given":"Francine","non-dropping-particle":"","parse-names":false,"suffix":""},{"dropping-particle":"","family":"Savard","given":"Annie Claude","non-dropping-particle":"","parse-names":false,"suffix":""},{"dropping-particle":"","family":"Saint-Jacques","given":"Marianne","non-dropping-particle":"","parse-names":false,"suffix":""},{"dropping-particle":"","family":"Côté","given":"Mélissa","non-dropping-particle":"","parse-names":false,"suffix":""}],"container-title":"Frontiers in Psychology","id":"ITEM-1","issue":"JAN","issued":{"date-parts":[["2018"]]},"page":"1-14","title":"The Experience of couples in the process of treatment of pathological gambling: Couple vs. individual therapy","type":"article-journal","volume":"8"},"uris":["http://www.mendeley.com/documents/?uuid=296cf757-ce6d-4c3f-96fb-4e1a7e256791"]}],"mendeley":{"formattedCitation":"(Tremblay et al., 2018)","plainTextFormattedCitation":"(Tremblay et al., 2018)","previouslyFormattedCitation":"(Tremblay et al., 2018)"},"properties":{"noteIndex":0},"schema":"https://github.com/citation-style-language/schema/raw/master/csl-citation.json"}</w:instrText>
      </w:r>
      <w:r>
        <w:rPr>
          <w:rFonts w:ascii="Times New Roman" w:hAnsi="Times New Roman" w:cs="Times New Roman"/>
          <w:sz w:val="24"/>
          <w:szCs w:val="24"/>
        </w:rPr>
        <w:fldChar w:fldCharType="separate"/>
      </w:r>
      <w:r w:rsidRPr="008D4CBC">
        <w:rPr>
          <w:rFonts w:ascii="Times New Roman" w:hAnsi="Times New Roman" w:cs="Times New Roman"/>
          <w:noProof/>
          <w:sz w:val="24"/>
          <w:szCs w:val="24"/>
        </w:rPr>
        <w:t>(Tremblay et al., 2018)</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8D4CBC">
        <w:rPr>
          <w:rFonts w:ascii="Times New Roman" w:hAnsi="Times New Roman" w:cs="Times New Roman"/>
          <w:sz w:val="24"/>
          <w:szCs w:val="24"/>
        </w:rPr>
        <w:t xml:space="preserve">provided treatment both conjointly and separately to dyads. Thus results described pertain to dyad treatment formats, although several themes identified can be understood to also influence the treatment process of interventions directed towards CSOs only. </w:t>
      </w:r>
    </w:p>
    <w:p w14:paraId="326C34D9" w14:textId="53526523" w:rsidR="008D4CBC" w:rsidRPr="008D4CBC" w:rsidRDefault="008D4CBC" w:rsidP="008D4CBC">
      <w:pPr>
        <w:spacing w:line="480" w:lineRule="auto"/>
        <w:rPr>
          <w:rFonts w:ascii="Times New Roman" w:hAnsi="Times New Roman" w:cs="Times New Roman"/>
          <w:sz w:val="24"/>
          <w:szCs w:val="24"/>
        </w:rPr>
      </w:pPr>
      <w:r w:rsidRPr="008D4CBC">
        <w:rPr>
          <w:rFonts w:ascii="Times New Roman" w:hAnsi="Times New Roman" w:cs="Times New Roman"/>
          <w:sz w:val="24"/>
          <w:szCs w:val="24"/>
        </w:rPr>
        <w:t>Categorizing treatment process descriptions according to the conceptualization proposed in the SSCS model</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{"citationItems":[{"id":"ITEM-1","itemData":{"DOI":"10.1016/j.socscimed.2012.11.036","ISSN":"02779536","PMID":"23268776","abstract":"This paper offers a conceptual overview of a neglected field. Evidence is presented to suggest that, globally, addiction is sufficiently stressful to cause pain and suffering to a large but uncounted number of adult affected family members (AFMs), possibly in the region of 100 million worldwide. A non-pathological stress-strain-coping-support model of the experience of AFMs is presented. The model is based on research in a number of different sociocultural groups in Mexico, England, Australia and Italy and aims to be sensitive to the circumstances of AFMs in low and middle income countries and in minority ethnic and indigenous groups as well to those of majorities in wealthier nations. It highlights the social and economic stressors of many kinds which AFMs face, their lack of information and social support, dilemmas about how to cope, and resulting high risk for ill-health. The public sector and personal costs are likely to be high. Attention is drawn to the relative lack of forms of help designed for AFMs in their own right. A 5-Step form of help aiming to fill that gap is briefly described. Family members affected by addiction have for too long been a group without a collective voice; research and action using the model and method described can make a contribution to changing that state of affairs. © 2012 Elsevier Ltd.","author":[{"dropping-particle":"","family":"Orford","given":"Jim","non-dropping-particle":"","parse-names":false,"suffix":""},{"dropping-particle":"","family":"Velleman","given":"Richard","non-dropping-particle":"","parse-names":false,"suffix":""},{"dropping-particle":"","family":"Natera","given":"Guillermina","non-dropping-particle":"","parse-names":false,"suffix":""},{"dropping-particle":"","family":"Templeton","given":"Lorna","non-dropping-particle":"","parse-names":false,"suffix":""},{"dropping-particle":"","family":"Copello","given":"Alex","non-dropping-particle":"","parse-names":false,"suffix":""}],"container-title":"Social Science and Medicine","id":"ITEM-1","issue":"1","issued":{"date-parts":[["2013"]]},"page":"70-77","title":"Addiction in the family is a major but neglected contributor to the global burden of adult ill-health","type":"article-journal","volume":"78"},"uris":["http://www.mendeley.com/documents/?uuid=8cb1b9d3-289d-4cec-9306-e2e23ec80d3f"]}],"mendeley":{"formattedCitation":"(Orford et al., 2013)","plainTextFormattedCitation":"(Orford et al., 2013)"},"properties":{"noteIndex":0},"schema":"https://github.com/citation-style-language/schema/raw/master/csl-citation.json"}</w:instrText>
      </w:r>
      <w:r>
        <w:rPr>
          <w:rFonts w:ascii="Times New Roman" w:hAnsi="Times New Roman" w:cs="Times New Roman"/>
          <w:sz w:val="24"/>
          <w:szCs w:val="24"/>
        </w:rPr>
        <w:fldChar w:fldCharType="separate"/>
      </w:r>
      <w:r w:rsidRPr="008D4CBC">
        <w:rPr>
          <w:rFonts w:ascii="Times New Roman" w:hAnsi="Times New Roman" w:cs="Times New Roman"/>
          <w:noProof/>
          <w:sz w:val="24"/>
          <w:szCs w:val="24"/>
        </w:rPr>
        <w:t>(Orford et al., 2013)</w:t>
      </w:r>
      <w:r>
        <w:rPr>
          <w:rFonts w:ascii="Times New Roman" w:hAnsi="Times New Roman" w:cs="Times New Roman"/>
          <w:sz w:val="24"/>
          <w:szCs w:val="24"/>
        </w:rPr>
        <w:fldChar w:fldCharType="end"/>
      </w:r>
      <w:r w:rsidRPr="008D4CBC">
        <w:rPr>
          <w:rFonts w:ascii="Times New Roman" w:hAnsi="Times New Roman" w:cs="Times New Roman"/>
          <w:sz w:val="24"/>
          <w:szCs w:val="24"/>
        </w:rPr>
        <w:t xml:space="preserve"> lead to the identification of all these themes (information and understanding; support; coping skills; strain) across all seven reports. This highlights the centrality of the SSCS model concepts for understanding treatment processes, regardless of the </w:t>
      </w:r>
      <w:r w:rsidRPr="008D4CBC">
        <w:rPr>
          <w:rFonts w:ascii="Times New Roman" w:hAnsi="Times New Roman" w:cs="Times New Roman"/>
          <w:sz w:val="24"/>
          <w:szCs w:val="24"/>
        </w:rPr>
        <w:lastRenderedPageBreak/>
        <w:t>specific intervention at hand. Additionally, communication was a central theme</w:t>
      </w:r>
      <w:r>
        <w:rPr>
          <w:rFonts w:ascii="Times New Roman" w:hAnsi="Times New Roman" w:cs="Times New Roman"/>
          <w:sz w:val="24"/>
          <w:szCs w:val="24"/>
        </w:rPr>
        <w:t xml:space="preserve"> evident across all reports.</w:t>
      </w:r>
    </w:p>
    <w:p w14:paraId="7C343209" w14:textId="3F2AB0A2" w:rsidR="008D4CBC" w:rsidRPr="008D4CBC" w:rsidRDefault="008D4CBC" w:rsidP="008D4CBC">
      <w:pPr>
        <w:spacing w:line="480" w:lineRule="auto"/>
        <w:rPr>
          <w:rFonts w:ascii="Times New Roman" w:hAnsi="Times New Roman" w:cs="Times New Roman"/>
          <w:sz w:val="24"/>
          <w:szCs w:val="24"/>
        </w:rPr>
      </w:pPr>
      <w:r w:rsidRPr="008D4CBC">
        <w:rPr>
          <w:rFonts w:ascii="Times New Roman" w:hAnsi="Times New Roman" w:cs="Times New Roman"/>
          <w:sz w:val="24"/>
          <w:szCs w:val="24"/>
        </w:rPr>
        <w:t>Subsequently brief descriptions of identified themes are provided. This section concurrently provides elaborations to the partial overlap of themes and bidirection</w:t>
      </w:r>
      <w:r>
        <w:rPr>
          <w:rFonts w:ascii="Times New Roman" w:hAnsi="Times New Roman" w:cs="Times New Roman"/>
          <w:sz w:val="24"/>
          <w:szCs w:val="24"/>
        </w:rPr>
        <w:t>al influence between themes.</w:t>
      </w:r>
    </w:p>
    <w:p w14:paraId="79706EDD" w14:textId="77777777" w:rsidR="008D4CBC" w:rsidRPr="008D4CBC" w:rsidRDefault="008D4CBC" w:rsidP="008D4CBC">
      <w:pPr>
        <w:spacing w:line="480" w:lineRule="auto"/>
        <w:rPr>
          <w:rFonts w:ascii="Times New Roman" w:hAnsi="Times New Roman" w:cs="Times New Roman"/>
          <w:sz w:val="24"/>
          <w:szCs w:val="24"/>
        </w:rPr>
      </w:pPr>
      <w:r w:rsidRPr="008D4CBC">
        <w:rPr>
          <w:rFonts w:ascii="Times New Roman" w:hAnsi="Times New Roman" w:cs="Times New Roman"/>
          <w:b/>
          <w:sz w:val="24"/>
          <w:szCs w:val="24"/>
        </w:rPr>
        <w:t>Information and understanding</w:t>
      </w:r>
      <w:r w:rsidRPr="008D4CBC">
        <w:rPr>
          <w:rFonts w:ascii="Times New Roman" w:hAnsi="Times New Roman" w:cs="Times New Roman"/>
          <w:sz w:val="24"/>
          <w:szCs w:val="24"/>
        </w:rPr>
        <w:t xml:space="preserve"> – CSOs expressed a need to better understand the gamblers behavior, and this was achieved with psychoeducation as well as through open communication. A heightened accurate understanding of the addiction enabled adoption of adaptive coping strategies (e.g. awareness of triggers).  Participants also expressed a general need for better mutual comprehension, which seemed more readily achievable in dyad treatment than in individual treatment. Facilitated communication about personal history (e.g. trauma) and emotions evoked compassion and empathy in addition to mutual comprehension (acknowledgment and appreciation of other). Exploring personal histories, communication patterns, behaviors and emotions with the counsellor/therapist also enhanced self-awareness, and provided a starting point for change (e.g. of maladaptive communication patterns). Furthermore, mutual comprehension was described to enhance the perceived support within the dyad. On the other end, a lack of understanding the addiction was described to potentially lead CSOs to interpret gambling as a spiteful behavior.</w:t>
      </w:r>
    </w:p>
    <w:p w14:paraId="695A0E31" w14:textId="77777777" w:rsidR="008D4CBC" w:rsidRPr="008D4CBC" w:rsidRDefault="008D4CBC" w:rsidP="008D4CBC">
      <w:pPr>
        <w:spacing w:line="480" w:lineRule="auto"/>
        <w:rPr>
          <w:rFonts w:ascii="Times New Roman" w:hAnsi="Times New Roman" w:cs="Times New Roman"/>
          <w:sz w:val="24"/>
          <w:szCs w:val="24"/>
        </w:rPr>
      </w:pPr>
      <w:r w:rsidRPr="008D4CBC">
        <w:rPr>
          <w:rFonts w:ascii="Times New Roman" w:hAnsi="Times New Roman" w:cs="Times New Roman"/>
          <w:b/>
          <w:sz w:val="24"/>
          <w:szCs w:val="24"/>
        </w:rPr>
        <w:t>Social Support</w:t>
      </w:r>
      <w:r w:rsidRPr="008D4CBC">
        <w:rPr>
          <w:rFonts w:ascii="Times New Roman" w:hAnsi="Times New Roman" w:cs="Times New Roman"/>
          <w:sz w:val="24"/>
          <w:szCs w:val="24"/>
        </w:rPr>
        <w:t xml:space="preserve"> – As put forward by the SSCS model, support entails all types of support. A dyad in treatment may in itself represent mutual support between the members as they co-operate to reach shared goals, support each other and feel empathy for each other. Building mutual support may be a goal of treatment (see interpersonal nature of the problem theme). CSO involvement also enables corroboration of the gamblers experiences and provides an additional </w:t>
      </w:r>
      <w:r w:rsidRPr="008D4CBC">
        <w:rPr>
          <w:rFonts w:ascii="Times New Roman" w:hAnsi="Times New Roman" w:cs="Times New Roman"/>
          <w:sz w:val="24"/>
          <w:szCs w:val="24"/>
        </w:rPr>
        <w:lastRenderedPageBreak/>
        <w:t>perspective to accounts, and may serve to uphold the gamblers treatment adherence. Simultaneously though, having interpersonal problems (e.g. limited communication and comprehension of other, conflicts, lack of trust) or lack of motivation may limit the degree of support initially available within the dyad; in a similar vein, some gamblers reported preferring treatment without the presence of the CSO.</w:t>
      </w:r>
    </w:p>
    <w:p w14:paraId="3EDF5C05" w14:textId="77777777" w:rsidR="008D4CBC" w:rsidRPr="008D4CBC" w:rsidRDefault="008D4CBC" w:rsidP="008D4CBC">
      <w:pPr>
        <w:spacing w:line="480" w:lineRule="auto"/>
        <w:rPr>
          <w:rFonts w:ascii="Times New Roman" w:hAnsi="Times New Roman" w:cs="Times New Roman"/>
          <w:sz w:val="24"/>
          <w:szCs w:val="24"/>
        </w:rPr>
      </w:pPr>
      <w:r w:rsidRPr="008D4CBC">
        <w:rPr>
          <w:rFonts w:ascii="Times New Roman" w:hAnsi="Times New Roman" w:cs="Times New Roman"/>
          <w:sz w:val="24"/>
          <w:szCs w:val="24"/>
        </w:rPr>
        <w:t xml:space="preserve">Being in treatment with a counsellor/therapist represents professional support. Efficacious elements of professional support reported include the therapeutic alliance, guided exploration of self and couple, and the benefits of having a neutral person present to facilitate discussions between partners - potentially leading to increased reciprocal acknowledgement, appreciation and support within the relationship. Receiving professional support (individually or as a dyad) may entail psychoeducation, self-exploration and learning coping skills, and exploring social support networks. Peer support included hearing similar stories from others, which may for example, raise awareness of one’s own predicament and alleviate feelings of isolation, shame and guilt. </w:t>
      </w:r>
    </w:p>
    <w:p w14:paraId="19DA0D13" w14:textId="77777777" w:rsidR="008D4CBC" w:rsidRPr="008D4CBC" w:rsidRDefault="008D4CBC" w:rsidP="008D4CBC">
      <w:pPr>
        <w:spacing w:line="480" w:lineRule="auto"/>
        <w:rPr>
          <w:rFonts w:ascii="Times New Roman" w:hAnsi="Times New Roman" w:cs="Times New Roman"/>
          <w:sz w:val="24"/>
          <w:szCs w:val="24"/>
        </w:rPr>
      </w:pPr>
      <w:r w:rsidRPr="004F065D">
        <w:rPr>
          <w:rFonts w:ascii="Times New Roman" w:hAnsi="Times New Roman" w:cs="Times New Roman"/>
          <w:b/>
          <w:sz w:val="24"/>
          <w:szCs w:val="24"/>
        </w:rPr>
        <w:t>Coping skills</w:t>
      </w:r>
      <w:r w:rsidRPr="008D4CBC">
        <w:rPr>
          <w:rFonts w:ascii="Times New Roman" w:hAnsi="Times New Roman" w:cs="Times New Roman"/>
          <w:sz w:val="24"/>
          <w:szCs w:val="24"/>
        </w:rPr>
        <w:t xml:space="preserve"> – Beneficial coping skills included strategies for communication, emotion regulation, problem-solving skills, reinforcing non-gambling, avoiding reinforcement of gambling, self-care, changing maladaptive cognitions and learning to utilize available social support. For example, through treatment a dyad may find pleasure in shared activities (which also contributes to the social support theme). Of note, self-awareness (part of the theme information and understanding) is closely related to self-compassion and self-worth, which have a central role in self-care and being an active agent in one’s own life. On the other end, avoidant coping (termed withdrawal in the SSCS model) may impede treatment efforts to address underlying issues (e.g. feelings of hurt).</w:t>
      </w:r>
    </w:p>
    <w:p w14:paraId="5D3462E6" w14:textId="77777777" w:rsidR="008D4CBC" w:rsidRPr="008D4CBC" w:rsidRDefault="008D4CBC" w:rsidP="008D4CBC">
      <w:pPr>
        <w:spacing w:line="480" w:lineRule="auto"/>
        <w:rPr>
          <w:rFonts w:ascii="Times New Roman" w:hAnsi="Times New Roman" w:cs="Times New Roman"/>
          <w:sz w:val="24"/>
          <w:szCs w:val="24"/>
        </w:rPr>
      </w:pPr>
      <w:r w:rsidRPr="004F065D">
        <w:rPr>
          <w:rFonts w:ascii="Times New Roman" w:hAnsi="Times New Roman" w:cs="Times New Roman"/>
          <w:b/>
          <w:sz w:val="24"/>
          <w:szCs w:val="24"/>
        </w:rPr>
        <w:lastRenderedPageBreak/>
        <w:t>Communication</w:t>
      </w:r>
      <w:r w:rsidRPr="008D4CBC">
        <w:rPr>
          <w:rFonts w:ascii="Times New Roman" w:hAnsi="Times New Roman" w:cs="Times New Roman"/>
          <w:sz w:val="24"/>
          <w:szCs w:val="24"/>
        </w:rPr>
        <w:t xml:space="preserve"> – Changing communication patterns to become more open was a common goal in interventions. Reciprocal, honest and open communication about thoughts, feelings and experiences was linked to heightened mutual understanding, empathy and support. Importantly, open and reciprocal communication was proposed to be a key factor in achieving sustained change in relation to gambling and interpersonal problems. On the other hand, a lack of open communication was described to impede treatment efforts (e.g. avoiding difficult subjects) and cause discord within the relationship. For example, disclosure of gambling problems was described as important but potentially difficult task to do in the presence of the CSO.</w:t>
      </w:r>
    </w:p>
    <w:p w14:paraId="3DC2F8F5" w14:textId="77777777" w:rsidR="008D4CBC" w:rsidRPr="008D4CBC" w:rsidRDefault="008D4CBC" w:rsidP="008D4CBC">
      <w:pPr>
        <w:spacing w:line="480" w:lineRule="auto"/>
        <w:rPr>
          <w:rFonts w:ascii="Times New Roman" w:hAnsi="Times New Roman" w:cs="Times New Roman"/>
          <w:sz w:val="24"/>
          <w:szCs w:val="24"/>
        </w:rPr>
      </w:pPr>
      <w:r w:rsidRPr="004F065D">
        <w:rPr>
          <w:rFonts w:ascii="Times New Roman" w:hAnsi="Times New Roman" w:cs="Times New Roman"/>
          <w:b/>
          <w:sz w:val="24"/>
          <w:szCs w:val="24"/>
        </w:rPr>
        <w:t>Strain</w:t>
      </w:r>
      <w:r w:rsidRPr="008D4CBC">
        <w:rPr>
          <w:rFonts w:ascii="Times New Roman" w:hAnsi="Times New Roman" w:cs="Times New Roman"/>
          <w:sz w:val="24"/>
          <w:szCs w:val="24"/>
        </w:rPr>
        <w:t xml:space="preserve"> – Negative emotions and thoughts that were attributed to the gambling or interpersonal problems were classified as strain (e.g. frustration, anxiety, shame, guilt, hopelessness and self-criticism). Addressing strain was often a target of interventions. Increased communication, mutual understanding and support within the relationship were described to relieve strain (e.g. feeling content, heightened self-compassion). There is a reciprocal connection between strain and intervention efforts, where a high level of strain may limit the ability to benefit from interventions and vice versa. As such, this theme is partially linked to cognitive functioning theme. Also, heightened strain may lead to treatment drop-out, as may also the absence of strain (i.e. recovery).</w:t>
      </w:r>
    </w:p>
    <w:p w14:paraId="7BD59BF4" w14:textId="38763E9F" w:rsidR="008D4CBC" w:rsidRPr="008D4CBC" w:rsidRDefault="008D4CBC" w:rsidP="008D4CBC">
      <w:pPr>
        <w:spacing w:line="480" w:lineRule="auto"/>
        <w:rPr>
          <w:rFonts w:ascii="Times New Roman" w:hAnsi="Times New Roman" w:cs="Times New Roman"/>
          <w:sz w:val="24"/>
          <w:szCs w:val="24"/>
        </w:rPr>
      </w:pPr>
      <w:r w:rsidRPr="004F065D">
        <w:rPr>
          <w:rFonts w:ascii="Times New Roman" w:hAnsi="Times New Roman" w:cs="Times New Roman"/>
          <w:b/>
          <w:sz w:val="24"/>
          <w:szCs w:val="24"/>
        </w:rPr>
        <w:t>Gambling behavior</w:t>
      </w:r>
      <w:r w:rsidRPr="008D4CBC">
        <w:rPr>
          <w:rFonts w:ascii="Times New Roman" w:hAnsi="Times New Roman" w:cs="Times New Roman"/>
          <w:sz w:val="24"/>
          <w:szCs w:val="24"/>
        </w:rPr>
        <w:t xml:space="preserve"> – This theme is prominent when the gambler is involved in treatment, where abstinence may be a motivator to treatment entry and part of treatment goals. Exploring factors leading to relapse may lead to greater awareness of urges, leading to a better understanding and ability to cope adaptively. Simultaneously findings suggest that relapse </w:t>
      </w:r>
      <w:r w:rsidR="004F065D">
        <w:rPr>
          <w:rFonts w:ascii="Times New Roman" w:hAnsi="Times New Roman" w:cs="Times New Roman"/>
          <w:sz w:val="24"/>
          <w:szCs w:val="24"/>
        </w:rPr>
        <w:t>may lead to treatment drop-out.</w:t>
      </w:r>
    </w:p>
    <w:p w14:paraId="4CCCCE62" w14:textId="5C671091" w:rsidR="008D4CBC" w:rsidRPr="008D4CBC" w:rsidRDefault="008D4CBC" w:rsidP="008D4CBC">
      <w:pPr>
        <w:spacing w:line="480" w:lineRule="auto"/>
        <w:rPr>
          <w:rFonts w:ascii="Times New Roman" w:hAnsi="Times New Roman" w:cs="Times New Roman"/>
          <w:sz w:val="24"/>
          <w:szCs w:val="24"/>
        </w:rPr>
      </w:pPr>
      <w:r w:rsidRPr="004F065D">
        <w:rPr>
          <w:rFonts w:ascii="Times New Roman" w:hAnsi="Times New Roman" w:cs="Times New Roman"/>
          <w:b/>
          <w:sz w:val="24"/>
          <w:szCs w:val="24"/>
        </w:rPr>
        <w:lastRenderedPageBreak/>
        <w:t>Interpersonal nature of the problem</w:t>
      </w:r>
      <w:r w:rsidRPr="008D4CBC">
        <w:rPr>
          <w:rFonts w:ascii="Times New Roman" w:hAnsi="Times New Roman" w:cs="Times New Roman"/>
          <w:sz w:val="24"/>
          <w:szCs w:val="24"/>
        </w:rPr>
        <w:t xml:space="preserve"> – This theme was most prominent in couple’s treatment, and represents both a hindrance to treatment efforts as well as a central target of treatment. Improved perceived well-being was often attributed to improved communication and mutual comprehension where the couple serves as a natural source of support. On the other end, this theme was expressed in terms of feelings of hurt, frustration, lack of trust, communication difficulties, conflict and isolation, and as such this theme is related to strain experienced. Also unbalanced roles within the relationship was perceived as causing strain. 6 re</w:t>
      </w:r>
      <w:r w:rsidR="004F065D">
        <w:rPr>
          <w:rFonts w:ascii="Times New Roman" w:hAnsi="Times New Roman" w:cs="Times New Roman"/>
          <w:sz w:val="24"/>
          <w:szCs w:val="24"/>
        </w:rPr>
        <w:t>ports contributed to this theme.</w:t>
      </w:r>
    </w:p>
    <w:p w14:paraId="6816716C" w14:textId="1245A9E1" w:rsidR="008D4CBC" w:rsidRPr="008D4CBC" w:rsidRDefault="008D4CBC" w:rsidP="008D4CBC">
      <w:pPr>
        <w:spacing w:line="480" w:lineRule="auto"/>
        <w:rPr>
          <w:rFonts w:ascii="Times New Roman" w:hAnsi="Times New Roman" w:cs="Times New Roman"/>
          <w:sz w:val="24"/>
          <w:szCs w:val="24"/>
        </w:rPr>
      </w:pPr>
      <w:r w:rsidRPr="004F065D">
        <w:rPr>
          <w:rFonts w:ascii="Times New Roman" w:hAnsi="Times New Roman" w:cs="Times New Roman"/>
          <w:b/>
          <w:sz w:val="24"/>
          <w:szCs w:val="24"/>
        </w:rPr>
        <w:t>Motivation to change</w:t>
      </w:r>
      <w:r w:rsidRPr="008D4CBC">
        <w:rPr>
          <w:rFonts w:ascii="Times New Roman" w:hAnsi="Times New Roman" w:cs="Times New Roman"/>
          <w:sz w:val="24"/>
          <w:szCs w:val="24"/>
        </w:rPr>
        <w:t xml:space="preserve"> - This theme is strongly related to how CSO involvement influences gambler motivation. Findings suggest that the presence and support of the CSO in treatment can maintain the gambler’s treatment adherence, but also that if the gambler’s participation is largely due to CSO proactivity, this can lead to treatment drop-out on behalf of the gambler. The proactivity of the CSO can also be conceptualized as coping, as the SSCS model suggests this type of behavior represents engaged coping. Gambler ambivalence and motivation towards change was also described to influence treatment adherence independently of the CSO. For example, taking the first steps towards making a change may have a significant impact on recovery. Motivation was also discussed in terms of how the therapist can support and enh</w:t>
      </w:r>
      <w:r w:rsidR="004F065D">
        <w:rPr>
          <w:rFonts w:ascii="Times New Roman" w:hAnsi="Times New Roman" w:cs="Times New Roman"/>
          <w:sz w:val="24"/>
          <w:szCs w:val="24"/>
        </w:rPr>
        <w:t>ance participant self-efficacy.</w:t>
      </w:r>
    </w:p>
    <w:p w14:paraId="400A24AF" w14:textId="7DB92937" w:rsidR="008D4CBC" w:rsidRPr="008D4CBC" w:rsidRDefault="008D4CBC" w:rsidP="008D4CBC">
      <w:pPr>
        <w:spacing w:line="480" w:lineRule="auto"/>
        <w:rPr>
          <w:rFonts w:ascii="Times New Roman" w:hAnsi="Times New Roman" w:cs="Times New Roman"/>
          <w:sz w:val="24"/>
          <w:szCs w:val="24"/>
        </w:rPr>
      </w:pPr>
      <w:r w:rsidRPr="004F065D">
        <w:rPr>
          <w:rFonts w:ascii="Times New Roman" w:hAnsi="Times New Roman" w:cs="Times New Roman"/>
          <w:b/>
          <w:sz w:val="24"/>
          <w:szCs w:val="24"/>
        </w:rPr>
        <w:t>Comorbidity</w:t>
      </w:r>
      <w:r w:rsidRPr="008D4CBC">
        <w:rPr>
          <w:rFonts w:ascii="Times New Roman" w:hAnsi="Times New Roman" w:cs="Times New Roman"/>
          <w:sz w:val="24"/>
          <w:szCs w:val="24"/>
        </w:rPr>
        <w:t xml:space="preserve"> – This theme refers to participants dealing with multiple conditions (e.g. substance use) that co</w:t>
      </w:r>
      <w:r w:rsidR="004F065D">
        <w:rPr>
          <w:rFonts w:ascii="Times New Roman" w:hAnsi="Times New Roman" w:cs="Times New Roman"/>
          <w:sz w:val="24"/>
          <w:szCs w:val="24"/>
        </w:rPr>
        <w:t>mplicate the treatment process.</w:t>
      </w:r>
    </w:p>
    <w:p w14:paraId="602E2F5B" w14:textId="01190D1B" w:rsidR="008D4CBC" w:rsidRPr="008D4CBC" w:rsidRDefault="008D4CBC" w:rsidP="008D4CBC">
      <w:pPr>
        <w:spacing w:line="480" w:lineRule="auto"/>
        <w:rPr>
          <w:rFonts w:ascii="Times New Roman" w:hAnsi="Times New Roman" w:cs="Times New Roman"/>
          <w:sz w:val="24"/>
          <w:szCs w:val="24"/>
        </w:rPr>
      </w:pPr>
      <w:r w:rsidRPr="004F065D">
        <w:rPr>
          <w:rFonts w:ascii="Times New Roman" w:hAnsi="Times New Roman" w:cs="Times New Roman"/>
          <w:b/>
          <w:sz w:val="24"/>
          <w:szCs w:val="24"/>
        </w:rPr>
        <w:t>Personal history</w:t>
      </w:r>
      <w:r w:rsidRPr="008D4CBC">
        <w:rPr>
          <w:rFonts w:ascii="Times New Roman" w:hAnsi="Times New Roman" w:cs="Times New Roman"/>
          <w:sz w:val="24"/>
          <w:szCs w:val="24"/>
        </w:rPr>
        <w:t xml:space="preserve"> – This theme refers to addressing past hardships (e.g. childhood trauma and struggles in relationship) as part of the treatment process, which contributes towards gaining a better comprehension of self and other. Addressing personal history is described to help </w:t>
      </w:r>
      <w:r w:rsidRPr="008D4CBC">
        <w:rPr>
          <w:rFonts w:ascii="Times New Roman" w:hAnsi="Times New Roman" w:cs="Times New Roman"/>
          <w:sz w:val="24"/>
          <w:szCs w:val="24"/>
        </w:rPr>
        <w:lastRenderedPageBreak/>
        <w:t>understand present behavior and coming to terms with the past. This theme also includes the exploration of intergenerational trauma and communication patterns, which is a part of CCT. Exploring participants’ narratives may also</w:t>
      </w:r>
      <w:r w:rsidR="004F065D">
        <w:rPr>
          <w:rFonts w:ascii="Times New Roman" w:hAnsi="Times New Roman" w:cs="Times New Roman"/>
          <w:sz w:val="24"/>
          <w:szCs w:val="24"/>
        </w:rPr>
        <w:t xml:space="preserve"> shed light on their strengths.</w:t>
      </w:r>
    </w:p>
    <w:p w14:paraId="66DB9178" w14:textId="7A771FFE" w:rsidR="008D4CBC" w:rsidRPr="008D4CBC" w:rsidRDefault="008D4CBC" w:rsidP="008D4CBC">
      <w:pPr>
        <w:spacing w:line="480" w:lineRule="auto"/>
        <w:rPr>
          <w:rFonts w:ascii="Times New Roman" w:hAnsi="Times New Roman" w:cs="Times New Roman"/>
          <w:sz w:val="24"/>
          <w:szCs w:val="24"/>
        </w:rPr>
      </w:pPr>
      <w:r w:rsidRPr="004F065D">
        <w:rPr>
          <w:rFonts w:ascii="Times New Roman" w:hAnsi="Times New Roman" w:cs="Times New Roman"/>
          <w:b/>
          <w:sz w:val="24"/>
          <w:szCs w:val="24"/>
        </w:rPr>
        <w:t>Cognitive functioning</w:t>
      </w:r>
      <w:r w:rsidRPr="008D4CBC">
        <w:rPr>
          <w:rFonts w:ascii="Times New Roman" w:hAnsi="Times New Roman" w:cs="Times New Roman"/>
          <w:sz w:val="24"/>
          <w:szCs w:val="24"/>
        </w:rPr>
        <w:t xml:space="preserve"> – This theme refers to the processing styles participants may have which influence what avenues are fruitful in treatment (e.g. ability to address past relationships)</w:t>
      </w:r>
      <w:r w:rsidR="004F065D">
        <w:rPr>
          <w:rFonts w:ascii="Times New Roman" w:hAnsi="Times New Roman" w:cs="Times New Roman"/>
          <w:sz w:val="24"/>
          <w:szCs w:val="24"/>
        </w:rPr>
        <w:t>.</w:t>
      </w:r>
    </w:p>
    <w:p w14:paraId="10689984" w14:textId="3D2CE1AE" w:rsidR="008D4CBC" w:rsidRPr="008D4CBC" w:rsidRDefault="008D4CBC" w:rsidP="008D4CBC">
      <w:pPr>
        <w:spacing w:line="480" w:lineRule="auto"/>
        <w:rPr>
          <w:rFonts w:ascii="Times New Roman" w:hAnsi="Times New Roman" w:cs="Times New Roman"/>
          <w:sz w:val="24"/>
          <w:szCs w:val="24"/>
        </w:rPr>
      </w:pPr>
      <w:r w:rsidRPr="004F065D">
        <w:rPr>
          <w:rFonts w:ascii="Times New Roman" w:hAnsi="Times New Roman" w:cs="Times New Roman"/>
          <w:b/>
          <w:sz w:val="24"/>
          <w:szCs w:val="24"/>
        </w:rPr>
        <w:t>Barriers</w:t>
      </w:r>
      <w:r w:rsidRPr="008D4CBC">
        <w:rPr>
          <w:rFonts w:ascii="Times New Roman" w:hAnsi="Times New Roman" w:cs="Times New Roman"/>
          <w:sz w:val="24"/>
          <w:szCs w:val="24"/>
        </w:rPr>
        <w:t xml:space="preserve"> – This theme refers to life circumstances (e.g. medication, divorce) and resource related factors (e.g. lack of internet access, time requirements for face-to-face participation) that hinder treatment engagement. </w:t>
      </w:r>
    </w:p>
    <w:p w14:paraId="2903F75F" w14:textId="17C0C7A3" w:rsidR="008D4CBC" w:rsidRPr="008D4CBC" w:rsidRDefault="008D4CBC" w:rsidP="008D4CBC">
      <w:pPr>
        <w:spacing w:line="480" w:lineRule="auto"/>
        <w:rPr>
          <w:rFonts w:ascii="Times New Roman" w:hAnsi="Times New Roman" w:cs="Times New Roman"/>
          <w:sz w:val="24"/>
          <w:szCs w:val="24"/>
        </w:rPr>
      </w:pPr>
      <w:r w:rsidRPr="004F065D">
        <w:rPr>
          <w:rFonts w:ascii="Times New Roman" w:hAnsi="Times New Roman" w:cs="Times New Roman"/>
          <w:b/>
          <w:sz w:val="24"/>
          <w:szCs w:val="24"/>
        </w:rPr>
        <w:t>Content and format</w:t>
      </w:r>
      <w:r w:rsidRPr="008D4CBC">
        <w:rPr>
          <w:rFonts w:ascii="Times New Roman" w:hAnsi="Times New Roman" w:cs="Times New Roman"/>
          <w:sz w:val="24"/>
          <w:szCs w:val="24"/>
        </w:rPr>
        <w:t xml:space="preserve"> – This theme is considered a subtheme to support, which highlights the potential benefits and pitfalls to different ways of delivering treatment. For instance, the potential threshold to drop out of online treatment was described to be low, and face-to-face treatment was described to enable interpreting participants’ body language. The benefits of specific content and format is to a degree dependent on personal preferences, such as a preference for couple’s treatment over individual treatment. This theme also refers to specific techniques used which were mentioned in reports (e.g. role play, practicing communication skills, providing peer support). Also, creating a treatment plan was described to elucidate t</w:t>
      </w:r>
      <w:r w:rsidR="004F065D">
        <w:rPr>
          <w:rFonts w:ascii="Times New Roman" w:hAnsi="Times New Roman" w:cs="Times New Roman"/>
          <w:sz w:val="24"/>
          <w:szCs w:val="24"/>
        </w:rPr>
        <w:t>he therapeutic process to come.</w:t>
      </w:r>
    </w:p>
    <w:p w14:paraId="50547D7D" w14:textId="181C8C7F" w:rsidR="00BB7705" w:rsidRPr="008D4CBC" w:rsidRDefault="00BB7705" w:rsidP="008D4CBC">
      <w:pPr>
        <w:spacing w:line="480" w:lineRule="auto"/>
        <w:rPr>
          <w:rFonts w:ascii="Times New Roman" w:hAnsi="Times New Roman" w:cs="Times New Roman"/>
          <w:sz w:val="24"/>
          <w:szCs w:val="24"/>
        </w:rPr>
      </w:pPr>
    </w:p>
    <w:sectPr w:rsidR="00BB7705" w:rsidRPr="008D4C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42F2D"/>
    <w:multiLevelType w:val="hybridMultilevel"/>
    <w:tmpl w:val="E3EEB98C"/>
    <w:lvl w:ilvl="0" w:tplc="5C1E568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160"/>
    <w:rsid w:val="0005642A"/>
    <w:rsid w:val="000B6465"/>
    <w:rsid w:val="000C4651"/>
    <w:rsid w:val="00465F08"/>
    <w:rsid w:val="004F065D"/>
    <w:rsid w:val="007C0160"/>
    <w:rsid w:val="008D4CBC"/>
    <w:rsid w:val="009704B7"/>
    <w:rsid w:val="00A445FD"/>
    <w:rsid w:val="00B01B1E"/>
    <w:rsid w:val="00B35DD4"/>
    <w:rsid w:val="00B87FD9"/>
    <w:rsid w:val="00BB7705"/>
    <w:rsid w:val="00C237DE"/>
    <w:rsid w:val="00C818F1"/>
    <w:rsid w:val="00D04503"/>
    <w:rsid w:val="00F11A09"/>
    <w:rsid w:val="00F42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0CA3F"/>
  <w15:chartTrackingRefBased/>
  <w15:docId w15:val="{FDBE8B82-54C9-417F-BDEE-002C5CDC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C46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C46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C0160"/>
    <w:rPr>
      <w:sz w:val="16"/>
      <w:szCs w:val="16"/>
    </w:rPr>
  </w:style>
  <w:style w:type="paragraph" w:styleId="CommentText">
    <w:name w:val="annotation text"/>
    <w:basedOn w:val="Normal"/>
    <w:link w:val="CommentTextChar"/>
    <w:uiPriority w:val="99"/>
    <w:semiHidden/>
    <w:unhideWhenUsed/>
    <w:rsid w:val="007C0160"/>
    <w:pPr>
      <w:spacing w:line="240" w:lineRule="auto"/>
    </w:pPr>
    <w:rPr>
      <w:sz w:val="20"/>
      <w:szCs w:val="20"/>
    </w:rPr>
  </w:style>
  <w:style w:type="character" w:customStyle="1" w:styleId="CommentTextChar">
    <w:name w:val="Comment Text Char"/>
    <w:basedOn w:val="DefaultParagraphFont"/>
    <w:link w:val="CommentText"/>
    <w:uiPriority w:val="99"/>
    <w:semiHidden/>
    <w:rsid w:val="007C0160"/>
    <w:rPr>
      <w:sz w:val="20"/>
      <w:szCs w:val="20"/>
    </w:rPr>
  </w:style>
  <w:style w:type="paragraph" w:styleId="BalloonText">
    <w:name w:val="Balloon Text"/>
    <w:basedOn w:val="Normal"/>
    <w:link w:val="BalloonTextChar"/>
    <w:uiPriority w:val="99"/>
    <w:semiHidden/>
    <w:unhideWhenUsed/>
    <w:rsid w:val="007C01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160"/>
    <w:rPr>
      <w:rFonts w:ascii="Segoe UI" w:hAnsi="Segoe UI" w:cs="Segoe UI"/>
      <w:sz w:val="18"/>
      <w:szCs w:val="18"/>
    </w:rPr>
  </w:style>
  <w:style w:type="paragraph" w:styleId="ListParagraph">
    <w:name w:val="List Paragraph"/>
    <w:basedOn w:val="Normal"/>
    <w:uiPriority w:val="34"/>
    <w:qFormat/>
    <w:rsid w:val="009704B7"/>
    <w:pPr>
      <w:ind w:left="720"/>
      <w:contextualSpacing/>
    </w:pPr>
  </w:style>
  <w:style w:type="character" w:customStyle="1" w:styleId="Heading1Char">
    <w:name w:val="Heading 1 Char"/>
    <w:basedOn w:val="DefaultParagraphFont"/>
    <w:link w:val="Heading1"/>
    <w:uiPriority w:val="9"/>
    <w:rsid w:val="000C465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C4651"/>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0C4651"/>
    <w:pPr>
      <w:outlineLvl w:val="9"/>
    </w:pPr>
  </w:style>
  <w:style w:type="paragraph" w:styleId="TOC1">
    <w:name w:val="toc 1"/>
    <w:basedOn w:val="Normal"/>
    <w:next w:val="Normal"/>
    <w:autoRedefine/>
    <w:uiPriority w:val="39"/>
    <w:unhideWhenUsed/>
    <w:rsid w:val="000C4651"/>
    <w:pPr>
      <w:spacing w:after="100"/>
    </w:pPr>
  </w:style>
  <w:style w:type="paragraph" w:styleId="TOC2">
    <w:name w:val="toc 2"/>
    <w:basedOn w:val="Normal"/>
    <w:next w:val="Normal"/>
    <w:autoRedefine/>
    <w:uiPriority w:val="39"/>
    <w:unhideWhenUsed/>
    <w:rsid w:val="000C4651"/>
    <w:pPr>
      <w:spacing w:after="100"/>
      <w:ind w:left="220"/>
    </w:pPr>
  </w:style>
  <w:style w:type="character" w:styleId="Hyperlink">
    <w:name w:val="Hyperlink"/>
    <w:basedOn w:val="DefaultParagraphFont"/>
    <w:uiPriority w:val="99"/>
    <w:unhideWhenUsed/>
    <w:rsid w:val="000C46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482FC-DE58-4326-A26C-0A5171B6C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14</Pages>
  <Words>4419</Words>
  <Characters>25192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2021-07-23T16:08:00Z</cp:lastPrinted>
  <dcterms:created xsi:type="dcterms:W3CDTF">2021-07-19T07:08:00Z</dcterms:created>
  <dcterms:modified xsi:type="dcterms:W3CDTF">2021-07-23T16:09:00Z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e8723eae-0e54-3835-ade2-755a91cceab2</vt:lpwstr>
  </property>
  <property fmtid="{D5CDD505-2E9C-101B-9397-08002B2CF9AE}" pid="24" name="Mendeley Citation Style_1">
    <vt:lpwstr>http://www.zotero.org/styles/apa</vt:lpwstr>
  </property>
</Properties>
</file>