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A3353" w14:textId="2F108584" w:rsidR="00F818C8" w:rsidRDefault="00F818C8" w:rsidP="00F818C8">
      <w:pPr>
        <w:spacing w:line="480" w:lineRule="auto"/>
        <w:jc w:val="center"/>
        <w:rPr>
          <w:rFonts w:ascii="Times New Roman" w:eastAsia="Times New Roman" w:hAnsi="Times New Roman" w:cs="Times New Roman"/>
          <w:b/>
          <w:bCs/>
        </w:rPr>
      </w:pPr>
      <w:r w:rsidRPr="00F818C8">
        <w:rPr>
          <w:rFonts w:ascii="Times New Roman" w:eastAsia="Times New Roman" w:hAnsi="Times New Roman" w:cs="Times New Roman"/>
          <w:b/>
          <w:sz w:val="24"/>
          <w:szCs w:val="24"/>
        </w:rPr>
        <w:t>Saini</w:t>
      </w:r>
      <w:r>
        <w:rPr>
          <w:rFonts w:ascii="Times New Roman" w:eastAsia="Times New Roman" w:hAnsi="Times New Roman" w:cs="Times New Roman"/>
          <w:b/>
          <w:sz w:val="24"/>
          <w:szCs w:val="24"/>
        </w:rPr>
        <w:t xml:space="preserve"> N. &amp;</w:t>
      </w:r>
      <w:r w:rsidRPr="00F818C8">
        <w:rPr>
          <w:rFonts w:ascii="Times New Roman" w:eastAsia="Times New Roman" w:hAnsi="Times New Roman" w:cs="Times New Roman"/>
          <w:b/>
          <w:sz w:val="24"/>
          <w:szCs w:val="24"/>
        </w:rPr>
        <w:t xml:space="preserve"> Hodgins</w:t>
      </w:r>
      <w:r>
        <w:rPr>
          <w:rFonts w:ascii="Times New Roman" w:eastAsia="Times New Roman" w:hAnsi="Times New Roman" w:cs="Times New Roman"/>
          <w:b/>
          <w:sz w:val="24"/>
          <w:szCs w:val="24"/>
        </w:rPr>
        <w:t xml:space="preserve">, D.C.: </w:t>
      </w:r>
      <w:bookmarkStart w:id="0" w:name="OLE_LINK3"/>
      <w:bookmarkStart w:id="1" w:name="OLE_LINK4"/>
      <w:r>
        <w:rPr>
          <w:rFonts w:ascii="Times New Roman" w:eastAsia="Times New Roman" w:hAnsi="Times New Roman" w:cs="Times New Roman"/>
          <w:b/>
          <w:bCs/>
        </w:rPr>
        <w:t>Investigating Gaming Structural Features Associated with Gaming Disorder and Proposing a Revised Taxonomical Model: A Scoping Review</w:t>
      </w:r>
      <w:bookmarkEnd w:id="0"/>
      <w:bookmarkEnd w:id="1"/>
      <w:r>
        <w:rPr>
          <w:rFonts w:ascii="Times New Roman" w:eastAsia="Times New Roman" w:hAnsi="Times New Roman" w:cs="Times New Roman"/>
          <w:b/>
          <w:bCs/>
        </w:rPr>
        <w:t xml:space="preserve">. </w:t>
      </w:r>
      <w:hyperlink r:id="rId8" w:history="1">
        <w:r w:rsidRPr="00C02D97">
          <w:rPr>
            <w:rStyle w:val="Hiperhivatkozs"/>
            <w:rFonts w:ascii="Times New Roman" w:eastAsia="Times New Roman" w:hAnsi="Times New Roman" w:cs="Times New Roman"/>
            <w:b/>
            <w:bCs/>
          </w:rPr>
          <w:t>https://doi.org/</w:t>
        </w:r>
        <w:r w:rsidRPr="00C02D97">
          <w:rPr>
            <w:rStyle w:val="Hiperhivatkozs"/>
            <w:rFonts w:ascii="Times New Roman" w:eastAsia="Times New Roman" w:hAnsi="Times New Roman" w:cs="Times New Roman"/>
            <w:b/>
            <w:bCs/>
          </w:rPr>
          <w:t>10.1556/2006.2023.00019</w:t>
        </w:r>
      </w:hyperlink>
      <w:r>
        <w:rPr>
          <w:rFonts w:ascii="Times New Roman" w:eastAsia="Times New Roman" w:hAnsi="Times New Roman" w:cs="Times New Roman"/>
          <w:b/>
          <w:bCs/>
        </w:rPr>
        <w:t xml:space="preserve"> </w:t>
      </w:r>
    </w:p>
    <w:p w14:paraId="27DEDA84" w14:textId="2B71D152" w:rsidR="00F818C8" w:rsidRDefault="00F818C8" w:rsidP="00F818C8">
      <w:pPr>
        <w:spacing w:line="480" w:lineRule="auto"/>
        <w:jc w:val="center"/>
        <w:rPr>
          <w:rFonts w:ascii="Times New Roman" w:eastAsia="Times New Roman" w:hAnsi="Times New Roman" w:cs="Times New Roman"/>
          <w:b/>
          <w:bCs/>
        </w:rPr>
      </w:pPr>
    </w:p>
    <w:p w14:paraId="487808AF" w14:textId="0110ACEC" w:rsidR="00F818C8" w:rsidRPr="00F818C8" w:rsidRDefault="00F818C8" w:rsidP="00F818C8">
      <w:pPr>
        <w:spacing w:line="480" w:lineRule="auto"/>
        <w:jc w:val="center"/>
        <w:rPr>
          <w:rFonts w:ascii="Times New Roman" w:eastAsia="Times New Roman" w:hAnsi="Times New Roman" w:cs="Times New Roman"/>
          <w:b/>
          <w:bCs/>
          <w:color w:val="0E101A"/>
          <w:sz w:val="28"/>
          <w:szCs w:val="28"/>
          <w:lang w:val="hu-HU"/>
        </w:rPr>
      </w:pPr>
      <w:r w:rsidRPr="00F818C8">
        <w:rPr>
          <w:rFonts w:ascii="Times New Roman" w:eastAsia="Times New Roman" w:hAnsi="Times New Roman" w:cs="Times New Roman"/>
          <w:b/>
          <w:bCs/>
          <w:sz w:val="28"/>
          <w:szCs w:val="28"/>
        </w:rPr>
        <w:t>Supplementary materials</w:t>
      </w:r>
    </w:p>
    <w:p w14:paraId="7E9CDD37" w14:textId="45BFC4C7" w:rsidR="00F818C8" w:rsidRPr="00F818C8" w:rsidRDefault="00F818C8" w:rsidP="00B862B4">
      <w:pPr>
        <w:rPr>
          <w:rFonts w:ascii="Times New Roman" w:eastAsia="Times New Roman" w:hAnsi="Times New Roman" w:cs="Times New Roman"/>
          <w:b/>
          <w:sz w:val="24"/>
          <w:szCs w:val="24"/>
          <w:lang w:val="en-CA"/>
        </w:rPr>
      </w:pPr>
    </w:p>
    <w:p w14:paraId="3CC654F0" w14:textId="77777777" w:rsidR="00F818C8" w:rsidRDefault="00F818C8" w:rsidP="00B862B4">
      <w:pPr>
        <w:rPr>
          <w:rFonts w:ascii="Times New Roman" w:eastAsia="Times New Roman" w:hAnsi="Times New Roman" w:cs="Times New Roman"/>
          <w:b/>
          <w:sz w:val="24"/>
          <w:szCs w:val="24"/>
        </w:rPr>
      </w:pPr>
    </w:p>
    <w:p w14:paraId="435DC385" w14:textId="77777777" w:rsidR="00F818C8" w:rsidRDefault="00F818C8" w:rsidP="00B862B4">
      <w:pPr>
        <w:rPr>
          <w:rFonts w:ascii="Times New Roman" w:eastAsia="Times New Roman" w:hAnsi="Times New Roman" w:cs="Times New Roman"/>
          <w:b/>
          <w:sz w:val="24"/>
          <w:szCs w:val="24"/>
        </w:rPr>
      </w:pPr>
    </w:p>
    <w:p w14:paraId="62462C1C" w14:textId="295ED40A" w:rsidR="00F818C8" w:rsidRDefault="00F818C8" w:rsidP="00B862B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 A</w:t>
      </w:r>
    </w:p>
    <w:p w14:paraId="29769945" w14:textId="35F945F2" w:rsidR="00B862B4" w:rsidRDefault="00B862B4" w:rsidP="00B862B4">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Tables Summarizing the Results of Included Studies</w:t>
      </w:r>
    </w:p>
    <w:p w14:paraId="45E2A8C2" w14:textId="36FD253D" w:rsidR="00B862B4" w:rsidRDefault="00B862B4" w:rsidP="00B862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Table </w:t>
      </w:r>
      <w:r w:rsidR="00F818C8">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1. Key Characteristics of Included Studies - Relevant to Gaming Disorder</w:t>
      </w:r>
    </w:p>
    <w:tbl>
      <w:tblPr>
        <w:tblW w:w="12690" w:type="dxa"/>
        <w:tblLayout w:type="fixed"/>
        <w:tblLook w:val="0600" w:firstRow="0" w:lastRow="0" w:firstColumn="0" w:lastColumn="0" w:noHBand="1" w:noVBand="1"/>
      </w:tblPr>
      <w:tblGrid>
        <w:gridCol w:w="1125"/>
        <w:gridCol w:w="1215"/>
        <w:gridCol w:w="2955"/>
        <w:gridCol w:w="1290"/>
        <w:gridCol w:w="1515"/>
        <w:gridCol w:w="4590"/>
      </w:tblGrid>
      <w:tr w:rsidR="00B862B4" w14:paraId="1DCB3E5B" w14:textId="77777777" w:rsidTr="003055DF">
        <w:trPr>
          <w:trHeight w:val="656"/>
        </w:trPr>
        <w:tc>
          <w:tcPr>
            <w:tcW w:w="1125" w:type="dxa"/>
            <w:tcBorders>
              <w:top w:val="single" w:sz="8" w:space="0" w:color="000000"/>
              <w:bottom w:val="single" w:sz="8" w:space="0" w:color="000000"/>
            </w:tcBorders>
            <w:tcMar>
              <w:top w:w="100" w:type="dxa"/>
              <w:left w:w="100" w:type="dxa"/>
              <w:bottom w:w="100" w:type="dxa"/>
              <w:right w:w="100" w:type="dxa"/>
            </w:tcMar>
            <w:vAlign w:val="center"/>
          </w:tcPr>
          <w:p w14:paraId="2370F943"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Study</w:t>
            </w:r>
          </w:p>
        </w:tc>
        <w:tc>
          <w:tcPr>
            <w:tcW w:w="1215" w:type="dxa"/>
            <w:tcBorders>
              <w:top w:val="single" w:sz="8" w:space="0" w:color="000000"/>
              <w:bottom w:val="single" w:sz="8" w:space="0" w:color="000000"/>
            </w:tcBorders>
            <w:tcMar>
              <w:top w:w="100" w:type="dxa"/>
              <w:left w:w="100" w:type="dxa"/>
              <w:bottom w:w="100" w:type="dxa"/>
              <w:right w:w="100" w:type="dxa"/>
            </w:tcMar>
            <w:vAlign w:val="center"/>
          </w:tcPr>
          <w:p w14:paraId="40175090"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Study Design</w:t>
            </w:r>
          </w:p>
        </w:tc>
        <w:tc>
          <w:tcPr>
            <w:tcW w:w="2955" w:type="dxa"/>
            <w:tcBorders>
              <w:top w:val="single" w:sz="8" w:space="0" w:color="000000"/>
              <w:bottom w:val="single" w:sz="8" w:space="0" w:color="000000"/>
            </w:tcBorders>
            <w:tcMar>
              <w:top w:w="100" w:type="dxa"/>
              <w:left w:w="100" w:type="dxa"/>
              <w:bottom w:w="100" w:type="dxa"/>
              <w:right w:w="100" w:type="dxa"/>
            </w:tcMar>
            <w:vAlign w:val="center"/>
          </w:tcPr>
          <w:p w14:paraId="597A7A41"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Sample</w:t>
            </w:r>
          </w:p>
        </w:tc>
        <w:tc>
          <w:tcPr>
            <w:tcW w:w="1290" w:type="dxa"/>
            <w:tcBorders>
              <w:top w:val="single" w:sz="8" w:space="0" w:color="000000"/>
              <w:bottom w:val="single" w:sz="8" w:space="0" w:color="000000"/>
            </w:tcBorders>
            <w:tcMar>
              <w:top w:w="100" w:type="dxa"/>
              <w:left w:w="100" w:type="dxa"/>
              <w:bottom w:w="100" w:type="dxa"/>
              <w:right w:w="100" w:type="dxa"/>
            </w:tcMar>
            <w:vAlign w:val="center"/>
          </w:tcPr>
          <w:p w14:paraId="4AB0F690"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and/or Proxy</w:t>
            </w:r>
          </w:p>
        </w:tc>
        <w:tc>
          <w:tcPr>
            <w:tcW w:w="1515" w:type="dxa"/>
            <w:tcBorders>
              <w:top w:val="single" w:sz="8" w:space="0" w:color="000000"/>
              <w:bottom w:val="single" w:sz="8" w:space="0" w:color="000000"/>
            </w:tcBorders>
            <w:tcMar>
              <w:top w:w="100" w:type="dxa"/>
              <w:left w:w="100" w:type="dxa"/>
              <w:bottom w:w="100" w:type="dxa"/>
              <w:right w:w="100" w:type="dxa"/>
            </w:tcMar>
            <w:vAlign w:val="center"/>
          </w:tcPr>
          <w:p w14:paraId="01EFE22F"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Structural Features</w:t>
            </w:r>
          </w:p>
        </w:tc>
        <w:tc>
          <w:tcPr>
            <w:tcW w:w="4590" w:type="dxa"/>
            <w:tcBorders>
              <w:top w:val="single" w:sz="8" w:space="0" w:color="000000"/>
              <w:bottom w:val="single" w:sz="8" w:space="0" w:color="000000"/>
            </w:tcBorders>
            <w:tcMar>
              <w:top w:w="100" w:type="dxa"/>
              <w:left w:w="100" w:type="dxa"/>
              <w:bottom w:w="100" w:type="dxa"/>
              <w:right w:w="100" w:type="dxa"/>
            </w:tcMar>
            <w:vAlign w:val="center"/>
          </w:tcPr>
          <w:p w14:paraId="6AC4DFD1"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Results</w:t>
            </w:r>
          </w:p>
        </w:tc>
      </w:tr>
      <w:tr w:rsidR="00B862B4" w14:paraId="67B3A31B" w14:textId="77777777" w:rsidTr="003055DF">
        <w:trPr>
          <w:trHeight w:val="1590"/>
        </w:trPr>
        <w:tc>
          <w:tcPr>
            <w:tcW w:w="1125" w:type="dxa"/>
            <w:tcBorders>
              <w:top w:val="single" w:sz="8" w:space="0" w:color="000000"/>
              <w:left w:val="nil"/>
              <w:bottom w:val="nil"/>
            </w:tcBorders>
            <w:tcMar>
              <w:top w:w="40" w:type="dxa"/>
              <w:left w:w="40" w:type="dxa"/>
              <w:bottom w:w="40" w:type="dxa"/>
              <w:right w:w="40" w:type="dxa"/>
            </w:tcMar>
          </w:tcPr>
          <w:p w14:paraId="1923E2FB"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Aggarwal et al. (2020)</w:t>
            </w:r>
          </w:p>
        </w:tc>
        <w:tc>
          <w:tcPr>
            <w:tcW w:w="1215" w:type="dxa"/>
            <w:tcBorders>
              <w:top w:val="single" w:sz="8" w:space="0" w:color="000000"/>
            </w:tcBorders>
            <w:shd w:val="clear" w:color="auto" w:fill="auto"/>
            <w:tcMar>
              <w:top w:w="100" w:type="dxa"/>
              <w:left w:w="100" w:type="dxa"/>
              <w:bottom w:w="100" w:type="dxa"/>
              <w:right w:w="100" w:type="dxa"/>
            </w:tcMar>
          </w:tcPr>
          <w:p w14:paraId="10C77A5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Cross Sectional </w:t>
            </w:r>
          </w:p>
        </w:tc>
        <w:tc>
          <w:tcPr>
            <w:tcW w:w="2955" w:type="dxa"/>
            <w:tcBorders>
              <w:top w:val="single" w:sz="8" w:space="0" w:color="000000"/>
            </w:tcBorders>
            <w:shd w:val="clear" w:color="auto" w:fill="auto"/>
            <w:tcMar>
              <w:top w:w="100" w:type="dxa"/>
              <w:left w:w="100" w:type="dxa"/>
              <w:bottom w:w="100" w:type="dxa"/>
              <w:right w:w="100" w:type="dxa"/>
            </w:tcMar>
          </w:tcPr>
          <w:p w14:paraId="4FAC6C0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44 online gamers from Asian countries who played the online game Players Unknown Battlegrounds (PUBG).</w:t>
            </w:r>
          </w:p>
        </w:tc>
        <w:tc>
          <w:tcPr>
            <w:tcW w:w="1290" w:type="dxa"/>
            <w:tcBorders>
              <w:top w:val="single" w:sz="8" w:space="0" w:color="000000"/>
            </w:tcBorders>
            <w:shd w:val="clear" w:color="auto" w:fill="auto"/>
            <w:tcMar>
              <w:top w:w="100" w:type="dxa"/>
              <w:left w:w="100" w:type="dxa"/>
              <w:bottom w:w="100" w:type="dxa"/>
              <w:right w:w="100" w:type="dxa"/>
            </w:tcMar>
          </w:tcPr>
          <w:p w14:paraId="24B983B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tcBorders>
              <w:top w:val="single" w:sz="8" w:space="0" w:color="000000"/>
            </w:tcBorders>
            <w:shd w:val="clear" w:color="auto" w:fill="auto"/>
            <w:tcMar>
              <w:top w:w="100" w:type="dxa"/>
              <w:left w:w="100" w:type="dxa"/>
              <w:bottom w:w="100" w:type="dxa"/>
              <w:right w:w="100" w:type="dxa"/>
            </w:tcMar>
          </w:tcPr>
          <w:p w14:paraId="7BFED34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General reward type features, violence</w:t>
            </w:r>
          </w:p>
        </w:tc>
        <w:tc>
          <w:tcPr>
            <w:tcW w:w="4590" w:type="dxa"/>
            <w:tcBorders>
              <w:top w:val="single" w:sz="8" w:space="0" w:color="000000"/>
            </w:tcBorders>
            <w:shd w:val="clear" w:color="auto" w:fill="auto"/>
            <w:tcMar>
              <w:top w:w="100" w:type="dxa"/>
              <w:left w:w="100" w:type="dxa"/>
              <w:bottom w:w="100" w:type="dxa"/>
              <w:right w:w="100" w:type="dxa"/>
            </w:tcMar>
          </w:tcPr>
          <w:p w14:paraId="79FC35C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IGD was strongly positively correlated with the number of kills, which indicates a relation of IGD with the number of hours spent playing and the game's violent nature. IGD has the most considerable positive relation with the number of wins which suggests the enhanced reward sensitivity of internet gaming addicts such that the number of wins acts as a motivational factor for PUBG players.</w:t>
            </w:r>
          </w:p>
          <w:p w14:paraId="5BA86EE8" w14:textId="77777777" w:rsidR="00B862B4" w:rsidRDefault="00B862B4" w:rsidP="003055DF">
            <w:pPr>
              <w:widowControl w:val="0"/>
              <w:spacing w:line="240" w:lineRule="auto"/>
              <w:rPr>
                <w:rFonts w:ascii="Times New Roman" w:eastAsia="Times New Roman" w:hAnsi="Times New Roman" w:cs="Times New Roman"/>
                <w:sz w:val="16"/>
                <w:szCs w:val="16"/>
              </w:rPr>
            </w:pPr>
          </w:p>
        </w:tc>
      </w:tr>
      <w:tr w:rsidR="00B862B4" w14:paraId="77C0D4EF" w14:textId="77777777" w:rsidTr="003055DF">
        <w:tc>
          <w:tcPr>
            <w:tcW w:w="1125" w:type="dxa"/>
            <w:tcBorders>
              <w:top w:val="nil"/>
              <w:left w:val="nil"/>
              <w:bottom w:val="nil"/>
            </w:tcBorders>
            <w:tcMar>
              <w:top w:w="40" w:type="dxa"/>
              <w:left w:w="40" w:type="dxa"/>
              <w:bottom w:w="40" w:type="dxa"/>
              <w:right w:w="40" w:type="dxa"/>
            </w:tcMar>
          </w:tcPr>
          <w:p w14:paraId="71852111"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Barnes &amp; Pressey (2014)</w:t>
            </w:r>
          </w:p>
        </w:tc>
        <w:tc>
          <w:tcPr>
            <w:tcW w:w="1215" w:type="dxa"/>
            <w:shd w:val="clear" w:color="auto" w:fill="auto"/>
            <w:tcMar>
              <w:top w:w="100" w:type="dxa"/>
              <w:left w:w="100" w:type="dxa"/>
              <w:bottom w:w="100" w:type="dxa"/>
              <w:right w:w="100" w:type="dxa"/>
            </w:tcMar>
          </w:tcPr>
          <w:p w14:paraId="1B52765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 (Survey)</w:t>
            </w:r>
          </w:p>
        </w:tc>
        <w:tc>
          <w:tcPr>
            <w:tcW w:w="2955" w:type="dxa"/>
            <w:shd w:val="clear" w:color="auto" w:fill="auto"/>
            <w:tcMar>
              <w:top w:w="100" w:type="dxa"/>
              <w:left w:w="100" w:type="dxa"/>
              <w:bottom w:w="100" w:type="dxa"/>
              <w:right w:w="100" w:type="dxa"/>
            </w:tcMar>
          </w:tcPr>
          <w:p w14:paraId="459300D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351 males, 311 females. There was a slight female majority (54.2%,</w:t>
            </w:r>
            <w:r>
              <w:rPr>
                <w:rFonts w:ascii="Times New Roman" w:eastAsia="Times New Roman" w:hAnsi="Times New Roman" w:cs="Times New Roman"/>
                <w:i/>
                <w:sz w:val="16"/>
                <w:szCs w:val="16"/>
              </w:rPr>
              <w:t xml:space="preserve"> p</w:t>
            </w:r>
            <w:r>
              <w:rPr>
                <w:rFonts w:ascii="Times New Roman" w:eastAsia="Times New Roman" w:hAnsi="Times New Roman" w:cs="Times New Roman"/>
                <w:sz w:val="16"/>
                <w:szCs w:val="16"/>
              </w:rPr>
              <w:t xml:space="preserve"> &lt; .001).</w:t>
            </w:r>
          </w:p>
        </w:tc>
        <w:tc>
          <w:tcPr>
            <w:tcW w:w="1290" w:type="dxa"/>
            <w:shd w:val="clear" w:color="auto" w:fill="auto"/>
            <w:tcMar>
              <w:top w:w="100" w:type="dxa"/>
              <w:left w:w="100" w:type="dxa"/>
              <w:bottom w:w="100" w:type="dxa"/>
              <w:right w:w="100" w:type="dxa"/>
            </w:tcMar>
          </w:tcPr>
          <w:p w14:paraId="3393D6A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Enjoyment, Immersion</w:t>
            </w:r>
          </w:p>
        </w:tc>
        <w:tc>
          <w:tcPr>
            <w:tcW w:w="1515" w:type="dxa"/>
            <w:shd w:val="clear" w:color="auto" w:fill="auto"/>
            <w:tcMar>
              <w:top w:w="100" w:type="dxa"/>
              <w:left w:w="100" w:type="dxa"/>
              <w:bottom w:w="100" w:type="dxa"/>
              <w:right w:w="100" w:type="dxa"/>
            </w:tcMar>
          </w:tcPr>
          <w:p w14:paraId="499F88E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Virtual worlds</w:t>
            </w:r>
          </w:p>
        </w:tc>
        <w:tc>
          <w:tcPr>
            <w:tcW w:w="4590" w:type="dxa"/>
            <w:shd w:val="clear" w:color="auto" w:fill="auto"/>
            <w:tcMar>
              <w:top w:w="100" w:type="dxa"/>
              <w:left w:w="100" w:type="dxa"/>
              <w:bottom w:w="100" w:type="dxa"/>
              <w:right w:w="100" w:type="dxa"/>
            </w:tcMar>
          </w:tcPr>
          <w:p w14:paraId="08531E5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Addiction levels in goal-oriented virtual worlds are significantly higher than in experience-oriented virtual worlds. Furthermore, virtual worlds with fewer prescribed tasks, </w:t>
            </w:r>
            <w:proofErr w:type="gramStart"/>
            <w:r>
              <w:rPr>
                <w:rFonts w:ascii="Times New Roman" w:eastAsia="Times New Roman" w:hAnsi="Times New Roman" w:cs="Times New Roman"/>
                <w:sz w:val="16"/>
                <w:szCs w:val="16"/>
              </w:rPr>
              <w:t>parameters</w:t>
            </w:r>
            <w:proofErr w:type="gramEnd"/>
            <w:r>
              <w:rPr>
                <w:rFonts w:ascii="Times New Roman" w:eastAsia="Times New Roman" w:hAnsi="Times New Roman" w:cs="Times New Roman"/>
                <w:sz w:val="16"/>
                <w:szCs w:val="16"/>
              </w:rPr>
              <w:t xml:space="preserve"> and objectives, would appear to have a reduced capacity to foster addiction.</w:t>
            </w:r>
          </w:p>
        </w:tc>
      </w:tr>
      <w:tr w:rsidR="00B862B4" w14:paraId="176F593D" w14:textId="77777777" w:rsidTr="003055DF">
        <w:tc>
          <w:tcPr>
            <w:tcW w:w="1125" w:type="dxa"/>
            <w:tcBorders>
              <w:top w:val="nil"/>
              <w:left w:val="nil"/>
              <w:bottom w:val="nil"/>
            </w:tcBorders>
            <w:tcMar>
              <w:top w:w="40" w:type="dxa"/>
              <w:left w:w="40" w:type="dxa"/>
              <w:bottom w:w="40" w:type="dxa"/>
              <w:right w:w="40" w:type="dxa"/>
            </w:tcMar>
          </w:tcPr>
          <w:p w14:paraId="3BB5DE65"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Blinka</w:t>
            </w:r>
            <w:proofErr w:type="spellEnd"/>
            <w:r>
              <w:rPr>
                <w:rFonts w:ascii="Times New Roman" w:eastAsia="Times New Roman" w:hAnsi="Times New Roman" w:cs="Times New Roman"/>
                <w:sz w:val="16"/>
                <w:szCs w:val="16"/>
              </w:rPr>
              <w:t xml:space="preserve"> &amp; </w:t>
            </w:r>
            <w:proofErr w:type="spellStart"/>
            <w:r>
              <w:rPr>
                <w:rFonts w:ascii="Times New Roman" w:eastAsia="Times New Roman" w:hAnsi="Times New Roman" w:cs="Times New Roman"/>
                <w:sz w:val="16"/>
                <w:szCs w:val="16"/>
              </w:rPr>
              <w:t>Mikuška</w:t>
            </w:r>
            <w:proofErr w:type="spellEnd"/>
            <w:r>
              <w:rPr>
                <w:rFonts w:ascii="Times New Roman" w:eastAsia="Times New Roman" w:hAnsi="Times New Roman" w:cs="Times New Roman"/>
                <w:sz w:val="16"/>
                <w:szCs w:val="16"/>
              </w:rPr>
              <w:t xml:space="preserve"> (2014)</w:t>
            </w:r>
          </w:p>
        </w:tc>
        <w:tc>
          <w:tcPr>
            <w:tcW w:w="1215" w:type="dxa"/>
            <w:shd w:val="clear" w:color="auto" w:fill="auto"/>
            <w:tcMar>
              <w:top w:w="100" w:type="dxa"/>
              <w:left w:w="100" w:type="dxa"/>
              <w:bottom w:w="100" w:type="dxa"/>
              <w:right w:w="100" w:type="dxa"/>
            </w:tcMar>
          </w:tcPr>
          <w:p w14:paraId="4B218F0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 (Survey)</w:t>
            </w:r>
          </w:p>
        </w:tc>
        <w:tc>
          <w:tcPr>
            <w:tcW w:w="2955" w:type="dxa"/>
            <w:shd w:val="clear" w:color="auto" w:fill="auto"/>
            <w:tcMar>
              <w:top w:w="100" w:type="dxa"/>
              <w:left w:w="100" w:type="dxa"/>
              <w:bottom w:w="100" w:type="dxa"/>
              <w:right w:w="100" w:type="dxa"/>
            </w:tcMar>
          </w:tcPr>
          <w:p w14:paraId="6179AEB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MMORPG players (ages 11-54, </w:t>
            </w:r>
            <w:r>
              <w:rPr>
                <w:rFonts w:ascii="Times New Roman" w:eastAsia="Times New Roman" w:hAnsi="Times New Roman" w:cs="Times New Roman"/>
                <w:i/>
                <w:sz w:val="16"/>
                <w:szCs w:val="16"/>
              </w:rPr>
              <w:t>M</w:t>
            </w:r>
            <w:r>
              <w:rPr>
                <w:rFonts w:ascii="Times New Roman" w:eastAsia="Times New Roman" w:hAnsi="Times New Roman" w:cs="Times New Roman"/>
                <w:sz w:val="16"/>
                <w:szCs w:val="16"/>
              </w:rPr>
              <w:t xml:space="preserve"> = 22.71, </w:t>
            </w:r>
            <w:r>
              <w:rPr>
                <w:rFonts w:ascii="Times New Roman" w:eastAsia="Times New Roman" w:hAnsi="Times New Roman" w:cs="Times New Roman"/>
                <w:i/>
                <w:sz w:val="16"/>
                <w:szCs w:val="16"/>
              </w:rPr>
              <w:t>SD</w:t>
            </w:r>
            <w:r>
              <w:rPr>
                <w:rFonts w:ascii="Times New Roman" w:eastAsia="Times New Roman" w:hAnsi="Times New Roman" w:cs="Times New Roman"/>
                <w:sz w:val="16"/>
                <w:szCs w:val="16"/>
              </w:rPr>
              <w:t xml:space="preserve"> = 6.66; 84% male), predominantly from Czech Republic and Slovakia. </w:t>
            </w:r>
          </w:p>
        </w:tc>
        <w:tc>
          <w:tcPr>
            <w:tcW w:w="1290" w:type="dxa"/>
            <w:shd w:val="clear" w:color="auto" w:fill="auto"/>
            <w:tcMar>
              <w:top w:w="100" w:type="dxa"/>
              <w:left w:w="100" w:type="dxa"/>
              <w:bottom w:w="100" w:type="dxa"/>
              <w:right w:w="100" w:type="dxa"/>
            </w:tcMar>
          </w:tcPr>
          <w:p w14:paraId="1430061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w:t>
            </w:r>
          </w:p>
        </w:tc>
        <w:tc>
          <w:tcPr>
            <w:tcW w:w="1515" w:type="dxa"/>
            <w:shd w:val="clear" w:color="auto" w:fill="auto"/>
            <w:tcMar>
              <w:top w:w="100" w:type="dxa"/>
              <w:left w:w="100" w:type="dxa"/>
              <w:bottom w:w="100" w:type="dxa"/>
              <w:right w:w="100" w:type="dxa"/>
            </w:tcMar>
          </w:tcPr>
          <w:p w14:paraId="1166338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In-game socialization</w:t>
            </w:r>
          </w:p>
        </w:tc>
        <w:tc>
          <w:tcPr>
            <w:tcW w:w="4590" w:type="dxa"/>
            <w:shd w:val="clear" w:color="auto" w:fill="auto"/>
            <w:tcMar>
              <w:top w:w="100" w:type="dxa"/>
              <w:left w:w="100" w:type="dxa"/>
              <w:bottom w:w="100" w:type="dxa"/>
              <w:right w:w="100" w:type="dxa"/>
            </w:tcMar>
          </w:tcPr>
          <w:p w14:paraId="18D3FBC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In-game social motivation was associated positively with online game addiction (including playing with others, teaming up, and sharing the game with others).</w:t>
            </w:r>
          </w:p>
        </w:tc>
      </w:tr>
      <w:tr w:rsidR="00B862B4" w14:paraId="1252736D" w14:textId="77777777" w:rsidTr="003055DF">
        <w:tc>
          <w:tcPr>
            <w:tcW w:w="1125" w:type="dxa"/>
            <w:tcBorders>
              <w:top w:val="nil"/>
              <w:left w:val="nil"/>
              <w:bottom w:val="nil"/>
            </w:tcBorders>
            <w:tcMar>
              <w:top w:w="40" w:type="dxa"/>
              <w:left w:w="40" w:type="dxa"/>
              <w:bottom w:w="40" w:type="dxa"/>
              <w:right w:w="40" w:type="dxa"/>
            </w:tcMar>
          </w:tcPr>
          <w:p w14:paraId="25BF3F5F"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Brooks &amp; Clark (2019)</w:t>
            </w:r>
          </w:p>
        </w:tc>
        <w:tc>
          <w:tcPr>
            <w:tcW w:w="1215" w:type="dxa"/>
            <w:shd w:val="clear" w:color="auto" w:fill="auto"/>
            <w:tcMar>
              <w:top w:w="100" w:type="dxa"/>
              <w:left w:w="100" w:type="dxa"/>
              <w:bottom w:w="100" w:type="dxa"/>
              <w:right w:w="100" w:type="dxa"/>
            </w:tcMar>
          </w:tcPr>
          <w:p w14:paraId="34EEDA8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4A43588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Study 1: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114</w:t>
            </w:r>
          </w:p>
          <w:p w14:paraId="14A7C57A" w14:textId="77777777" w:rsidR="00B862B4" w:rsidRDefault="00B862B4" w:rsidP="003055DF">
            <w:pPr>
              <w:widowControl w:val="0"/>
              <w:spacing w:line="240" w:lineRule="auto"/>
              <w:rPr>
                <w:rFonts w:ascii="Times New Roman" w:eastAsia="Times New Roman" w:hAnsi="Times New Roman" w:cs="Times New Roman"/>
                <w:sz w:val="16"/>
                <w:szCs w:val="16"/>
              </w:rPr>
            </w:pPr>
          </w:p>
          <w:p w14:paraId="034FA70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Study 2: </w:t>
            </w:r>
            <w:r>
              <w:rPr>
                <w:rFonts w:ascii="Times New Roman" w:eastAsia="Times New Roman" w:hAnsi="Times New Roman" w:cs="Times New Roman"/>
                <w:i/>
                <w:sz w:val="16"/>
                <w:szCs w:val="16"/>
              </w:rPr>
              <w:t xml:space="preserve">N </w:t>
            </w:r>
            <w:r>
              <w:rPr>
                <w:rFonts w:ascii="Times New Roman" w:eastAsia="Times New Roman" w:hAnsi="Times New Roman" w:cs="Times New Roman"/>
                <w:sz w:val="16"/>
                <w:szCs w:val="16"/>
              </w:rPr>
              <w:t>= 113</w:t>
            </w:r>
          </w:p>
        </w:tc>
        <w:tc>
          <w:tcPr>
            <w:tcW w:w="1290" w:type="dxa"/>
            <w:shd w:val="clear" w:color="auto" w:fill="auto"/>
            <w:tcMar>
              <w:top w:w="100" w:type="dxa"/>
              <w:left w:w="100" w:type="dxa"/>
              <w:bottom w:w="100" w:type="dxa"/>
              <w:right w:w="100" w:type="dxa"/>
            </w:tcMar>
          </w:tcPr>
          <w:p w14:paraId="21C7528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Engagement, Time Spent Gaming</w:t>
            </w:r>
          </w:p>
        </w:tc>
        <w:tc>
          <w:tcPr>
            <w:tcW w:w="1515" w:type="dxa"/>
            <w:shd w:val="clear" w:color="auto" w:fill="auto"/>
            <w:tcMar>
              <w:top w:w="100" w:type="dxa"/>
              <w:left w:w="100" w:type="dxa"/>
              <w:bottom w:w="100" w:type="dxa"/>
              <w:right w:w="100" w:type="dxa"/>
            </w:tcMar>
          </w:tcPr>
          <w:p w14:paraId="76B57AC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Loot boxes</w:t>
            </w:r>
          </w:p>
        </w:tc>
        <w:tc>
          <w:tcPr>
            <w:tcW w:w="4590" w:type="dxa"/>
            <w:shd w:val="clear" w:color="auto" w:fill="auto"/>
            <w:tcMar>
              <w:top w:w="100" w:type="dxa"/>
              <w:left w:w="100" w:type="dxa"/>
              <w:bottom w:w="100" w:type="dxa"/>
              <w:right w:w="100" w:type="dxa"/>
            </w:tcMar>
          </w:tcPr>
          <w:p w14:paraId="2B34198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Associations between loot boxes (i.e., risky use, expenditure) and problem internet gaming. The participants’ high agreement that loot boxes reflect betting behavior and gambling indicates that gamers perceive loot boxes as a ‘</w:t>
            </w:r>
            <w:proofErr w:type="spellStart"/>
            <w:r>
              <w:rPr>
                <w:rFonts w:ascii="Times New Roman" w:eastAsia="Times New Roman" w:hAnsi="Times New Roman" w:cs="Times New Roman"/>
                <w:sz w:val="16"/>
                <w:szCs w:val="16"/>
              </w:rPr>
              <w:t>gamblified</w:t>
            </w:r>
            <w:proofErr w:type="spellEnd"/>
            <w:r>
              <w:rPr>
                <w:rFonts w:ascii="Times New Roman" w:eastAsia="Times New Roman" w:hAnsi="Times New Roman" w:cs="Times New Roman"/>
                <w:sz w:val="16"/>
                <w:szCs w:val="16"/>
              </w:rPr>
              <w:t>’ feature of video games.</w:t>
            </w:r>
          </w:p>
          <w:p w14:paraId="08C540C5" w14:textId="77777777" w:rsidR="00B862B4" w:rsidRDefault="00B862B4" w:rsidP="003055DF">
            <w:pPr>
              <w:widowControl w:val="0"/>
              <w:spacing w:line="240" w:lineRule="auto"/>
              <w:rPr>
                <w:rFonts w:ascii="Times New Roman" w:eastAsia="Times New Roman" w:hAnsi="Times New Roman" w:cs="Times New Roman"/>
                <w:sz w:val="16"/>
                <w:szCs w:val="16"/>
              </w:rPr>
            </w:pPr>
          </w:p>
        </w:tc>
      </w:tr>
      <w:tr w:rsidR="00B862B4" w14:paraId="12331503" w14:textId="77777777" w:rsidTr="003055DF">
        <w:tc>
          <w:tcPr>
            <w:tcW w:w="1125" w:type="dxa"/>
            <w:tcBorders>
              <w:top w:val="nil"/>
              <w:bottom w:val="nil"/>
            </w:tcBorders>
            <w:tcMar>
              <w:top w:w="40" w:type="dxa"/>
              <w:left w:w="40" w:type="dxa"/>
              <w:bottom w:w="40" w:type="dxa"/>
              <w:right w:w="40" w:type="dxa"/>
            </w:tcMar>
          </w:tcPr>
          <w:p w14:paraId="0022D65F" w14:textId="77777777" w:rsidR="00B862B4" w:rsidRDefault="00B862B4" w:rsidP="003055DF">
            <w:pPr>
              <w:widowControl w:val="0"/>
              <w:rPr>
                <w:sz w:val="20"/>
                <w:szCs w:val="20"/>
              </w:rPr>
            </w:pPr>
            <w:r>
              <w:rPr>
                <w:rFonts w:ascii="Times New Roman" w:eastAsia="Times New Roman" w:hAnsi="Times New Roman" w:cs="Times New Roman"/>
                <w:sz w:val="16"/>
                <w:szCs w:val="16"/>
              </w:rPr>
              <w:t>Carey et al. (2021)</w:t>
            </w:r>
          </w:p>
        </w:tc>
        <w:tc>
          <w:tcPr>
            <w:tcW w:w="1215" w:type="dxa"/>
            <w:shd w:val="clear" w:color="auto" w:fill="auto"/>
            <w:tcMar>
              <w:top w:w="100" w:type="dxa"/>
              <w:left w:w="100" w:type="dxa"/>
              <w:bottom w:w="100" w:type="dxa"/>
              <w:right w:w="100" w:type="dxa"/>
            </w:tcMar>
          </w:tcPr>
          <w:p w14:paraId="5386AFB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710FB19B" w14:textId="77777777" w:rsidR="00B862B4" w:rsidRDefault="00B862B4" w:rsidP="003055DF">
            <w:pPr>
              <w:widowControl w:val="0"/>
              <w:spacing w:line="24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471. </w:t>
            </w:r>
            <w:r>
              <w:rPr>
                <w:rFonts w:ascii="Times New Roman" w:eastAsia="Times New Roman" w:hAnsi="Times New Roman" w:cs="Times New Roman"/>
                <w:sz w:val="17"/>
                <w:szCs w:val="17"/>
                <w:highlight w:val="white"/>
              </w:rPr>
              <w:t xml:space="preserve">A total of 380 participants identified as male (80.7%), 73 as female (15.5%), and 18 as neither (3.8%). </w:t>
            </w:r>
          </w:p>
        </w:tc>
        <w:tc>
          <w:tcPr>
            <w:tcW w:w="1290" w:type="dxa"/>
            <w:shd w:val="clear" w:color="auto" w:fill="auto"/>
            <w:tcMar>
              <w:top w:w="100" w:type="dxa"/>
              <w:left w:w="100" w:type="dxa"/>
              <w:bottom w:w="100" w:type="dxa"/>
              <w:right w:w="100" w:type="dxa"/>
            </w:tcMar>
          </w:tcPr>
          <w:p w14:paraId="021D836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4146656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Loot boxes</w:t>
            </w:r>
          </w:p>
        </w:tc>
        <w:tc>
          <w:tcPr>
            <w:tcW w:w="4590" w:type="dxa"/>
            <w:shd w:val="clear" w:color="auto" w:fill="auto"/>
            <w:tcMar>
              <w:top w:w="100" w:type="dxa"/>
              <w:left w:w="100" w:type="dxa"/>
              <w:bottom w:w="100" w:type="dxa"/>
              <w:right w:w="100" w:type="dxa"/>
            </w:tcMar>
          </w:tcPr>
          <w:p w14:paraId="44ABE9B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IGD was predicted by the amount of loot box expenditure per month. Gamers who met criteria for IGD reported more harm than regular gamers who did not meet the criteria. Loot box expenditure was associated with greater gaming-related financial harm.</w:t>
            </w:r>
          </w:p>
        </w:tc>
      </w:tr>
      <w:tr w:rsidR="00B862B4" w14:paraId="74ED789E" w14:textId="77777777" w:rsidTr="003055DF">
        <w:tc>
          <w:tcPr>
            <w:tcW w:w="1125" w:type="dxa"/>
            <w:tcBorders>
              <w:top w:val="nil"/>
              <w:left w:val="nil"/>
              <w:bottom w:val="nil"/>
            </w:tcBorders>
            <w:tcMar>
              <w:top w:w="40" w:type="dxa"/>
              <w:left w:w="40" w:type="dxa"/>
              <w:bottom w:w="40" w:type="dxa"/>
              <w:right w:w="40" w:type="dxa"/>
            </w:tcMar>
          </w:tcPr>
          <w:p w14:paraId="4CB9D8A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Cheng (2019)</w:t>
            </w:r>
          </w:p>
        </w:tc>
        <w:tc>
          <w:tcPr>
            <w:tcW w:w="1215" w:type="dxa"/>
            <w:shd w:val="clear" w:color="auto" w:fill="auto"/>
            <w:tcMar>
              <w:top w:w="100" w:type="dxa"/>
              <w:left w:w="100" w:type="dxa"/>
              <w:bottom w:w="100" w:type="dxa"/>
              <w:right w:w="100" w:type="dxa"/>
            </w:tcMar>
          </w:tcPr>
          <w:p w14:paraId="10B939D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2CED99C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466 responses were obtained, including 274 boys (58.80%) and 192 girls (41.20%). Participants were selected from middle schools in central Taiwan.</w:t>
            </w:r>
          </w:p>
        </w:tc>
        <w:tc>
          <w:tcPr>
            <w:tcW w:w="1290" w:type="dxa"/>
            <w:shd w:val="clear" w:color="auto" w:fill="auto"/>
            <w:tcMar>
              <w:top w:w="100" w:type="dxa"/>
              <w:left w:w="100" w:type="dxa"/>
              <w:bottom w:w="100" w:type="dxa"/>
              <w:right w:w="100" w:type="dxa"/>
            </w:tcMar>
          </w:tcPr>
          <w:p w14:paraId="3231D7A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w:t>
            </w:r>
          </w:p>
        </w:tc>
        <w:tc>
          <w:tcPr>
            <w:tcW w:w="1515" w:type="dxa"/>
            <w:shd w:val="clear" w:color="auto" w:fill="auto"/>
            <w:tcMar>
              <w:top w:w="100" w:type="dxa"/>
              <w:left w:w="100" w:type="dxa"/>
              <w:bottom w:w="100" w:type="dxa"/>
              <w:right w:w="100" w:type="dxa"/>
            </w:tcMar>
          </w:tcPr>
          <w:p w14:paraId="3D2B633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Personal interaction, storytelling device feature</w:t>
            </w:r>
          </w:p>
        </w:tc>
        <w:tc>
          <w:tcPr>
            <w:tcW w:w="4590" w:type="dxa"/>
            <w:shd w:val="clear" w:color="auto" w:fill="auto"/>
            <w:tcMar>
              <w:top w:w="100" w:type="dxa"/>
              <w:left w:w="100" w:type="dxa"/>
              <w:bottom w:w="100" w:type="dxa"/>
              <w:right w:w="100" w:type="dxa"/>
            </w:tcMar>
          </w:tcPr>
          <w:p w14:paraId="4489C8E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Motivation for playing </w:t>
            </w:r>
            <w:proofErr w:type="spellStart"/>
            <w:r>
              <w:rPr>
                <w:rFonts w:ascii="Times New Roman" w:eastAsia="Times New Roman" w:hAnsi="Times New Roman" w:cs="Times New Roman"/>
                <w:sz w:val="16"/>
                <w:szCs w:val="16"/>
              </w:rPr>
              <w:t>Pokemon</w:t>
            </w:r>
            <w:proofErr w:type="spellEnd"/>
            <w:r>
              <w:rPr>
                <w:rFonts w:ascii="Times New Roman" w:eastAsia="Times New Roman" w:hAnsi="Times New Roman" w:cs="Times New Roman"/>
                <w:sz w:val="16"/>
                <w:szCs w:val="16"/>
              </w:rPr>
              <w:t xml:space="preserve"> Go does show a positive effect on IGD. The dimension of form, story and personal interaction do contribute significant effects on IGD. </w:t>
            </w:r>
          </w:p>
        </w:tc>
      </w:tr>
      <w:tr w:rsidR="00B862B4" w14:paraId="3E162F04" w14:textId="77777777" w:rsidTr="003055DF">
        <w:tc>
          <w:tcPr>
            <w:tcW w:w="1125" w:type="dxa"/>
            <w:tcBorders>
              <w:top w:val="nil"/>
              <w:left w:val="nil"/>
              <w:bottom w:val="nil"/>
            </w:tcBorders>
            <w:tcMar>
              <w:top w:w="40" w:type="dxa"/>
              <w:left w:w="40" w:type="dxa"/>
              <w:bottom w:w="40" w:type="dxa"/>
              <w:right w:w="40" w:type="dxa"/>
            </w:tcMar>
          </w:tcPr>
          <w:p w14:paraId="55394DC4"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Choi et al. (2018)</w:t>
            </w:r>
          </w:p>
        </w:tc>
        <w:tc>
          <w:tcPr>
            <w:tcW w:w="1215" w:type="dxa"/>
            <w:shd w:val="clear" w:color="auto" w:fill="auto"/>
            <w:tcMar>
              <w:top w:w="100" w:type="dxa"/>
              <w:left w:w="100" w:type="dxa"/>
              <w:bottom w:w="100" w:type="dxa"/>
              <w:right w:w="100" w:type="dxa"/>
            </w:tcMar>
          </w:tcPr>
          <w:p w14:paraId="12694886" w14:textId="77777777" w:rsidR="00B862B4" w:rsidRDefault="00B862B4" w:rsidP="003055DF">
            <w:pPr>
              <w:widowControl w:val="0"/>
              <w:spacing w:line="240" w:lineRule="auto"/>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Non Randomized</w:t>
            </w:r>
            <w:proofErr w:type="gramEnd"/>
            <w:r>
              <w:rPr>
                <w:rFonts w:ascii="Times New Roman" w:eastAsia="Times New Roman" w:hAnsi="Times New Roman" w:cs="Times New Roman"/>
                <w:sz w:val="16"/>
                <w:szCs w:val="16"/>
              </w:rPr>
              <w:t xml:space="preserve"> Control Trial</w:t>
            </w:r>
          </w:p>
        </w:tc>
        <w:tc>
          <w:tcPr>
            <w:tcW w:w="2955" w:type="dxa"/>
            <w:shd w:val="clear" w:color="auto" w:fill="auto"/>
            <w:tcMar>
              <w:top w:w="100" w:type="dxa"/>
              <w:left w:w="100" w:type="dxa"/>
              <w:bottom w:w="100" w:type="dxa"/>
              <w:right w:w="100" w:type="dxa"/>
            </w:tcMar>
            <w:vAlign w:val="center"/>
          </w:tcPr>
          <w:p w14:paraId="6C0FFAD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17 right-handed male adolescents with IGD and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17 right- handed healthy male adolescents for comparison were recruited from Korea.</w:t>
            </w:r>
          </w:p>
        </w:tc>
        <w:tc>
          <w:tcPr>
            <w:tcW w:w="1290" w:type="dxa"/>
            <w:shd w:val="clear" w:color="auto" w:fill="auto"/>
            <w:tcMar>
              <w:top w:w="100" w:type="dxa"/>
              <w:left w:w="100" w:type="dxa"/>
              <w:bottom w:w="100" w:type="dxa"/>
              <w:right w:w="100" w:type="dxa"/>
            </w:tcMar>
          </w:tcPr>
          <w:p w14:paraId="3C180DB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01D2CAB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Avatar Presence, Genre (RPG)</w:t>
            </w:r>
          </w:p>
        </w:tc>
        <w:tc>
          <w:tcPr>
            <w:tcW w:w="4590" w:type="dxa"/>
            <w:shd w:val="clear" w:color="auto" w:fill="auto"/>
            <w:tcMar>
              <w:top w:w="100" w:type="dxa"/>
              <w:left w:w="100" w:type="dxa"/>
              <w:bottom w:w="100" w:type="dxa"/>
              <w:right w:w="100" w:type="dxa"/>
            </w:tcMar>
          </w:tcPr>
          <w:p w14:paraId="0EB7D94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Participants who were addicted to internet games identified the game character as closer to the self.</w:t>
            </w:r>
          </w:p>
        </w:tc>
      </w:tr>
      <w:tr w:rsidR="00B862B4" w14:paraId="56EB6965" w14:textId="77777777" w:rsidTr="003055DF">
        <w:tc>
          <w:tcPr>
            <w:tcW w:w="1125" w:type="dxa"/>
            <w:tcBorders>
              <w:top w:val="nil"/>
              <w:left w:val="nil"/>
              <w:bottom w:val="nil"/>
            </w:tcBorders>
            <w:tcMar>
              <w:top w:w="40" w:type="dxa"/>
              <w:left w:w="40" w:type="dxa"/>
              <w:bottom w:w="40" w:type="dxa"/>
              <w:right w:w="40" w:type="dxa"/>
            </w:tcMar>
          </w:tcPr>
          <w:p w14:paraId="741670DC"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Columb</w:t>
            </w:r>
            <w:proofErr w:type="spellEnd"/>
            <w:r>
              <w:rPr>
                <w:rFonts w:ascii="Times New Roman" w:eastAsia="Times New Roman" w:hAnsi="Times New Roman" w:cs="Times New Roman"/>
                <w:sz w:val="16"/>
                <w:szCs w:val="16"/>
              </w:rPr>
              <w:t xml:space="preserve"> et al. (2020)</w:t>
            </w:r>
          </w:p>
        </w:tc>
        <w:tc>
          <w:tcPr>
            <w:tcW w:w="1215" w:type="dxa"/>
            <w:shd w:val="clear" w:color="auto" w:fill="auto"/>
            <w:tcMar>
              <w:top w:w="100" w:type="dxa"/>
              <w:left w:w="100" w:type="dxa"/>
              <w:bottom w:w="100" w:type="dxa"/>
              <w:right w:w="100" w:type="dxa"/>
            </w:tcMar>
          </w:tcPr>
          <w:p w14:paraId="1BF4A1E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Prevalence Study</w:t>
            </w:r>
          </w:p>
        </w:tc>
        <w:tc>
          <w:tcPr>
            <w:tcW w:w="2955" w:type="dxa"/>
            <w:shd w:val="clear" w:color="auto" w:fill="auto"/>
            <w:tcMar>
              <w:top w:w="100" w:type="dxa"/>
              <w:left w:w="100" w:type="dxa"/>
              <w:bottom w:w="100" w:type="dxa"/>
              <w:right w:w="100" w:type="dxa"/>
            </w:tcMar>
          </w:tcPr>
          <w:p w14:paraId="12F4100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166. Gender distribution was predominantly males (92.8%) with some females (6.0%) and other (1.2%).</w:t>
            </w:r>
          </w:p>
        </w:tc>
        <w:tc>
          <w:tcPr>
            <w:tcW w:w="1290" w:type="dxa"/>
            <w:shd w:val="clear" w:color="auto" w:fill="auto"/>
            <w:tcMar>
              <w:top w:w="100" w:type="dxa"/>
              <w:left w:w="100" w:type="dxa"/>
              <w:bottom w:w="100" w:type="dxa"/>
              <w:right w:w="100" w:type="dxa"/>
            </w:tcMar>
          </w:tcPr>
          <w:p w14:paraId="3817D91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05EF836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Genres (FPS, Action-Adventure, MOBA), Game reinforcement characteristics (expiration microtransactions, in-game currencies, random chance purchases, expiration).</w:t>
            </w:r>
          </w:p>
        </w:tc>
        <w:tc>
          <w:tcPr>
            <w:tcW w:w="4590" w:type="dxa"/>
            <w:shd w:val="clear" w:color="auto" w:fill="auto"/>
            <w:tcMar>
              <w:top w:w="100" w:type="dxa"/>
              <w:left w:w="100" w:type="dxa"/>
              <w:bottom w:w="100" w:type="dxa"/>
              <w:right w:w="100" w:type="dxa"/>
            </w:tcMar>
          </w:tcPr>
          <w:p w14:paraId="50909D3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FPS, Action-Adventure, and MOBA games were most played. No relationship was found between disordered gaming and microtransactions. Most common microtransactions made by disordered gamers were in-game currencies, followed by random chance purchases, followed by in-game items, followed by expiration purchases.</w:t>
            </w:r>
          </w:p>
        </w:tc>
      </w:tr>
      <w:tr w:rsidR="00B862B4" w14:paraId="1E8A18E1" w14:textId="77777777" w:rsidTr="003055DF">
        <w:tc>
          <w:tcPr>
            <w:tcW w:w="1125" w:type="dxa"/>
            <w:tcBorders>
              <w:top w:val="nil"/>
              <w:left w:val="nil"/>
              <w:bottom w:val="nil"/>
            </w:tcBorders>
            <w:tcMar>
              <w:top w:w="40" w:type="dxa"/>
              <w:left w:w="40" w:type="dxa"/>
              <w:bottom w:w="40" w:type="dxa"/>
              <w:right w:w="40" w:type="dxa"/>
            </w:tcMar>
          </w:tcPr>
          <w:p w14:paraId="2037268E"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Dieris-Hirche</w:t>
            </w:r>
            <w:proofErr w:type="spellEnd"/>
            <w:r>
              <w:rPr>
                <w:rFonts w:ascii="Times New Roman" w:eastAsia="Times New Roman" w:hAnsi="Times New Roman" w:cs="Times New Roman"/>
                <w:sz w:val="16"/>
                <w:szCs w:val="16"/>
              </w:rPr>
              <w:t xml:space="preserve"> et al. (2020)</w:t>
            </w:r>
          </w:p>
        </w:tc>
        <w:tc>
          <w:tcPr>
            <w:tcW w:w="1215" w:type="dxa"/>
            <w:shd w:val="clear" w:color="auto" w:fill="auto"/>
            <w:tcMar>
              <w:top w:w="100" w:type="dxa"/>
              <w:left w:w="100" w:type="dxa"/>
              <w:bottom w:w="100" w:type="dxa"/>
              <w:right w:w="100" w:type="dxa"/>
            </w:tcMar>
          </w:tcPr>
          <w:p w14:paraId="7ECEC76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5DC4FF5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 sample of 820 video gamers between the ages 12 and 66 was recruited. All the participants reported that they played video games on a regular basis. 26.5% of players were females, 72.8% males, and .7% “other/diverse/transgender”</w:t>
            </w:r>
          </w:p>
        </w:tc>
        <w:tc>
          <w:tcPr>
            <w:tcW w:w="1290" w:type="dxa"/>
            <w:shd w:val="clear" w:color="auto" w:fill="auto"/>
            <w:tcMar>
              <w:top w:w="100" w:type="dxa"/>
              <w:left w:w="100" w:type="dxa"/>
              <w:bottom w:w="100" w:type="dxa"/>
              <w:right w:w="100" w:type="dxa"/>
            </w:tcMar>
          </w:tcPr>
          <w:p w14:paraId="698420D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0CECC47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 (MMORPG, FPS)</w:t>
            </w:r>
          </w:p>
        </w:tc>
        <w:tc>
          <w:tcPr>
            <w:tcW w:w="4590" w:type="dxa"/>
            <w:shd w:val="clear" w:color="auto" w:fill="auto"/>
            <w:tcMar>
              <w:top w:w="100" w:type="dxa"/>
              <w:left w:w="100" w:type="dxa"/>
              <w:bottom w:w="100" w:type="dxa"/>
              <w:right w:w="100" w:type="dxa"/>
            </w:tcMar>
          </w:tcPr>
          <w:p w14:paraId="723962A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time (hours/week) was significantly and considerably greater (by about 10 h per week) among those showing problematic gaming behavior. Gamers showing problematic gaming behavior preferred to play MMORPGs (33.6%) and FPS games (34.5%) more frequently and listed those as their favorite game genres.</w:t>
            </w:r>
          </w:p>
        </w:tc>
      </w:tr>
      <w:tr w:rsidR="00B862B4" w14:paraId="1D513145" w14:textId="77777777" w:rsidTr="003055DF">
        <w:tc>
          <w:tcPr>
            <w:tcW w:w="1125" w:type="dxa"/>
            <w:tcBorders>
              <w:top w:val="nil"/>
              <w:left w:val="nil"/>
              <w:bottom w:val="nil"/>
            </w:tcBorders>
            <w:tcMar>
              <w:top w:w="40" w:type="dxa"/>
              <w:left w:w="40" w:type="dxa"/>
              <w:bottom w:w="40" w:type="dxa"/>
              <w:right w:w="40" w:type="dxa"/>
            </w:tcMar>
          </w:tcPr>
          <w:p w14:paraId="32E92769"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Drummond et al. (2020)</w:t>
            </w:r>
          </w:p>
        </w:tc>
        <w:tc>
          <w:tcPr>
            <w:tcW w:w="1215" w:type="dxa"/>
            <w:shd w:val="clear" w:color="auto" w:fill="auto"/>
            <w:tcMar>
              <w:top w:w="100" w:type="dxa"/>
              <w:left w:w="100" w:type="dxa"/>
              <w:bottom w:w="100" w:type="dxa"/>
              <w:right w:w="100" w:type="dxa"/>
            </w:tcMar>
          </w:tcPr>
          <w:p w14:paraId="3599BF6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650F7E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1049 after excluding from the initial pool of recruited participants. The sample overrepresented female respondents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816, 63.4%).</w:t>
            </w:r>
          </w:p>
        </w:tc>
        <w:tc>
          <w:tcPr>
            <w:tcW w:w="1290" w:type="dxa"/>
            <w:shd w:val="clear" w:color="auto" w:fill="auto"/>
            <w:tcMar>
              <w:top w:w="100" w:type="dxa"/>
              <w:left w:w="100" w:type="dxa"/>
              <w:bottom w:w="100" w:type="dxa"/>
              <w:right w:w="100" w:type="dxa"/>
            </w:tcMar>
          </w:tcPr>
          <w:p w14:paraId="4B446F0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1B644C4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Loot Boxes</w:t>
            </w:r>
          </w:p>
        </w:tc>
        <w:tc>
          <w:tcPr>
            <w:tcW w:w="4590" w:type="dxa"/>
            <w:shd w:val="clear" w:color="auto" w:fill="auto"/>
            <w:tcMar>
              <w:top w:w="100" w:type="dxa"/>
              <w:left w:w="100" w:type="dxa"/>
              <w:bottom w:w="100" w:type="dxa"/>
              <w:right w:w="100" w:type="dxa"/>
            </w:tcMar>
          </w:tcPr>
          <w:p w14:paraId="71CE95A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People with symptoms of excessive gaming and problem gambling spend more on loot boxes than peers with low symptoms on one or </w:t>
            </w:r>
            <w:proofErr w:type="gramStart"/>
            <w:r>
              <w:rPr>
                <w:rFonts w:ascii="Times New Roman" w:eastAsia="Times New Roman" w:hAnsi="Times New Roman" w:cs="Times New Roman"/>
                <w:sz w:val="16"/>
                <w:szCs w:val="16"/>
                <w:highlight w:val="white"/>
              </w:rPr>
              <w:t>both of these</w:t>
            </w:r>
            <w:proofErr w:type="gramEnd"/>
            <w:r>
              <w:rPr>
                <w:rFonts w:ascii="Times New Roman" w:eastAsia="Times New Roman" w:hAnsi="Times New Roman" w:cs="Times New Roman"/>
                <w:sz w:val="16"/>
                <w:szCs w:val="16"/>
                <w:highlight w:val="white"/>
              </w:rPr>
              <w:t xml:space="preserve"> individual measures. Problem Gambling Symptoms, Risky Loot Box Index, and IGD scales are all correlated closely. </w:t>
            </w:r>
          </w:p>
        </w:tc>
      </w:tr>
      <w:tr w:rsidR="00B862B4" w14:paraId="2A48917D" w14:textId="77777777" w:rsidTr="003055DF">
        <w:tc>
          <w:tcPr>
            <w:tcW w:w="1125" w:type="dxa"/>
            <w:tcBorders>
              <w:top w:val="nil"/>
              <w:left w:val="nil"/>
              <w:bottom w:val="nil"/>
            </w:tcBorders>
            <w:tcMar>
              <w:top w:w="40" w:type="dxa"/>
              <w:left w:w="40" w:type="dxa"/>
              <w:bottom w:w="40" w:type="dxa"/>
              <w:right w:w="40" w:type="dxa"/>
            </w:tcMar>
          </w:tcPr>
          <w:p w14:paraId="4EDBDDB0"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Duman</w:t>
            </w:r>
            <w:proofErr w:type="spellEnd"/>
            <w:r>
              <w:rPr>
                <w:rFonts w:ascii="Times New Roman" w:eastAsia="Times New Roman" w:hAnsi="Times New Roman" w:cs="Times New Roman"/>
                <w:sz w:val="16"/>
                <w:szCs w:val="16"/>
              </w:rPr>
              <w:t xml:space="preserve"> &amp; </w:t>
            </w:r>
            <w:proofErr w:type="spellStart"/>
            <w:r>
              <w:rPr>
                <w:rFonts w:ascii="Times New Roman" w:eastAsia="Times New Roman" w:hAnsi="Times New Roman" w:cs="Times New Roman"/>
                <w:sz w:val="16"/>
                <w:szCs w:val="16"/>
              </w:rPr>
              <w:t>Ozkara</w:t>
            </w:r>
            <w:proofErr w:type="spellEnd"/>
            <w:r>
              <w:rPr>
                <w:rFonts w:ascii="Times New Roman" w:eastAsia="Times New Roman" w:hAnsi="Times New Roman" w:cs="Times New Roman"/>
                <w:sz w:val="16"/>
                <w:szCs w:val="16"/>
              </w:rPr>
              <w:t xml:space="preserve"> (2019)</w:t>
            </w:r>
          </w:p>
        </w:tc>
        <w:tc>
          <w:tcPr>
            <w:tcW w:w="1215" w:type="dxa"/>
            <w:shd w:val="clear" w:color="auto" w:fill="auto"/>
            <w:tcMar>
              <w:top w:w="100" w:type="dxa"/>
              <w:left w:w="100" w:type="dxa"/>
              <w:bottom w:w="100" w:type="dxa"/>
              <w:right w:w="100" w:type="dxa"/>
            </w:tcMar>
          </w:tcPr>
          <w:p w14:paraId="63D4769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8D5530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318 participants in total, 302 males (95%) and 16 females (5%). </w:t>
            </w:r>
          </w:p>
        </w:tc>
        <w:tc>
          <w:tcPr>
            <w:tcW w:w="1290" w:type="dxa"/>
            <w:shd w:val="clear" w:color="auto" w:fill="auto"/>
            <w:tcMar>
              <w:top w:w="100" w:type="dxa"/>
              <w:left w:w="100" w:type="dxa"/>
              <w:bottom w:w="100" w:type="dxa"/>
              <w:right w:w="100" w:type="dxa"/>
            </w:tcMar>
          </w:tcPr>
          <w:p w14:paraId="5ADFB9F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Gaming Disorder, Time </w:t>
            </w:r>
            <w:r>
              <w:rPr>
                <w:rFonts w:ascii="Times New Roman" w:eastAsia="Times New Roman" w:hAnsi="Times New Roman" w:cs="Times New Roman"/>
                <w:sz w:val="16"/>
                <w:szCs w:val="16"/>
              </w:rPr>
              <w:lastRenderedPageBreak/>
              <w:t>Spent Gaming</w:t>
            </w:r>
          </w:p>
        </w:tc>
        <w:tc>
          <w:tcPr>
            <w:tcW w:w="1515" w:type="dxa"/>
            <w:shd w:val="clear" w:color="auto" w:fill="auto"/>
            <w:tcMar>
              <w:top w:w="100" w:type="dxa"/>
              <w:left w:w="100" w:type="dxa"/>
              <w:bottom w:w="100" w:type="dxa"/>
              <w:right w:w="100" w:type="dxa"/>
            </w:tcMar>
          </w:tcPr>
          <w:p w14:paraId="53ED306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Guilds/Clans</w:t>
            </w:r>
          </w:p>
        </w:tc>
        <w:tc>
          <w:tcPr>
            <w:tcW w:w="4590" w:type="dxa"/>
            <w:shd w:val="clear" w:color="auto" w:fill="auto"/>
            <w:tcMar>
              <w:top w:w="100" w:type="dxa"/>
              <w:left w:w="100" w:type="dxa"/>
              <w:bottom w:w="100" w:type="dxa"/>
              <w:right w:w="100" w:type="dxa"/>
            </w:tcMar>
          </w:tcPr>
          <w:p w14:paraId="4D68030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The impact of social identity on online game addiction can be fully explained by gamers’ </w:t>
            </w:r>
            <w:proofErr w:type="spellStart"/>
            <w:r>
              <w:rPr>
                <w:rFonts w:ascii="Times New Roman" w:eastAsia="Times New Roman" w:hAnsi="Times New Roman" w:cs="Times New Roman"/>
                <w:sz w:val="16"/>
                <w:szCs w:val="16"/>
              </w:rPr>
              <w:t>FoMO</w:t>
            </w:r>
            <w:proofErr w:type="spellEnd"/>
            <w:r>
              <w:rPr>
                <w:rFonts w:ascii="Times New Roman" w:eastAsia="Times New Roman" w:hAnsi="Times New Roman" w:cs="Times New Roman"/>
                <w:sz w:val="16"/>
                <w:szCs w:val="16"/>
              </w:rPr>
              <w:t xml:space="preserve"> (fear of missing out) - </w:t>
            </w:r>
            <w:proofErr w:type="spellStart"/>
            <w:r>
              <w:rPr>
                <w:rFonts w:ascii="Times New Roman" w:eastAsia="Times New Roman" w:hAnsi="Times New Roman" w:cs="Times New Roman"/>
                <w:sz w:val="16"/>
                <w:szCs w:val="16"/>
              </w:rPr>
              <w:t>FoMO</w:t>
            </w:r>
            <w:proofErr w:type="spellEnd"/>
            <w:r>
              <w:rPr>
                <w:rFonts w:ascii="Times New Roman" w:eastAsia="Times New Roman" w:hAnsi="Times New Roman" w:cs="Times New Roman"/>
                <w:sz w:val="16"/>
                <w:szCs w:val="16"/>
              </w:rPr>
              <w:t xml:space="preserve"> fully </w:t>
            </w:r>
            <w:r>
              <w:rPr>
                <w:rFonts w:ascii="Times New Roman" w:eastAsia="Times New Roman" w:hAnsi="Times New Roman" w:cs="Times New Roman"/>
                <w:sz w:val="16"/>
                <w:szCs w:val="16"/>
              </w:rPr>
              <w:lastRenderedPageBreak/>
              <w:t>mediated the effect of social identity on game addiction. The relationship between social identity and online game addiction was significant for gamers with a high need to belong.</w:t>
            </w:r>
          </w:p>
        </w:tc>
      </w:tr>
      <w:tr w:rsidR="00B862B4" w14:paraId="02F18341" w14:textId="77777777" w:rsidTr="003055DF">
        <w:tc>
          <w:tcPr>
            <w:tcW w:w="1125" w:type="dxa"/>
            <w:tcBorders>
              <w:top w:val="nil"/>
              <w:left w:val="nil"/>
              <w:bottom w:val="nil"/>
            </w:tcBorders>
            <w:tcMar>
              <w:top w:w="40" w:type="dxa"/>
              <w:left w:w="40" w:type="dxa"/>
              <w:bottom w:w="40" w:type="dxa"/>
              <w:right w:w="40" w:type="dxa"/>
            </w:tcMar>
          </w:tcPr>
          <w:p w14:paraId="3D022481"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lastRenderedPageBreak/>
              <w:t>Eichenbaum</w:t>
            </w:r>
            <w:proofErr w:type="spellEnd"/>
            <w:r>
              <w:rPr>
                <w:rFonts w:ascii="Times New Roman" w:eastAsia="Times New Roman" w:hAnsi="Times New Roman" w:cs="Times New Roman"/>
                <w:sz w:val="16"/>
                <w:szCs w:val="16"/>
              </w:rPr>
              <w:t xml:space="preserve"> et al. (2015)</w:t>
            </w:r>
          </w:p>
        </w:tc>
        <w:tc>
          <w:tcPr>
            <w:tcW w:w="1215" w:type="dxa"/>
            <w:shd w:val="clear" w:color="auto" w:fill="auto"/>
            <w:tcMar>
              <w:top w:w="100" w:type="dxa"/>
              <w:left w:w="100" w:type="dxa"/>
              <w:bottom w:w="100" w:type="dxa"/>
              <w:right w:w="100" w:type="dxa"/>
            </w:tcMar>
          </w:tcPr>
          <w:p w14:paraId="163F364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12119A8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Singaporean children (817 female) from primary (394 girls; 1032 boys) schools and secondary schools (423 girls; 1133 boys). </w:t>
            </w:r>
          </w:p>
        </w:tc>
        <w:tc>
          <w:tcPr>
            <w:tcW w:w="1290" w:type="dxa"/>
            <w:shd w:val="clear" w:color="auto" w:fill="auto"/>
            <w:tcMar>
              <w:top w:w="100" w:type="dxa"/>
              <w:left w:w="100" w:type="dxa"/>
              <w:bottom w:w="100" w:type="dxa"/>
              <w:right w:w="100" w:type="dxa"/>
            </w:tcMar>
          </w:tcPr>
          <w:p w14:paraId="4862265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Preference</w:t>
            </w:r>
          </w:p>
        </w:tc>
        <w:tc>
          <w:tcPr>
            <w:tcW w:w="1515" w:type="dxa"/>
            <w:shd w:val="clear" w:color="auto" w:fill="auto"/>
            <w:tcMar>
              <w:top w:w="100" w:type="dxa"/>
              <w:left w:w="100" w:type="dxa"/>
              <w:bottom w:w="100" w:type="dxa"/>
              <w:right w:w="100" w:type="dxa"/>
            </w:tcMar>
          </w:tcPr>
          <w:p w14:paraId="7866277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Genres (​​RPG, action, strategy, music, puzzle)</w:t>
            </w:r>
          </w:p>
        </w:tc>
        <w:tc>
          <w:tcPr>
            <w:tcW w:w="4590" w:type="dxa"/>
            <w:shd w:val="clear" w:color="auto" w:fill="auto"/>
            <w:tcMar>
              <w:top w:w="100" w:type="dxa"/>
              <w:left w:w="100" w:type="dxa"/>
              <w:bottom w:w="100" w:type="dxa"/>
              <w:right w:w="100" w:type="dxa"/>
            </w:tcMar>
          </w:tcPr>
          <w:p w14:paraId="0204886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Role playing games had a higher level of gaming addiction than action, strategy, and music genres (no statistically significant difference between these three). Puzzle genre had the lowest IGD prevalence.</w:t>
            </w:r>
          </w:p>
        </w:tc>
      </w:tr>
      <w:tr w:rsidR="00B862B4" w14:paraId="42A16C7A" w14:textId="77777777" w:rsidTr="003055DF">
        <w:tc>
          <w:tcPr>
            <w:tcW w:w="1125" w:type="dxa"/>
            <w:tcBorders>
              <w:top w:val="nil"/>
              <w:left w:val="nil"/>
              <w:bottom w:val="nil"/>
            </w:tcBorders>
            <w:tcMar>
              <w:top w:w="40" w:type="dxa"/>
              <w:left w:w="40" w:type="dxa"/>
              <w:bottom w:w="40" w:type="dxa"/>
              <w:right w:w="40" w:type="dxa"/>
            </w:tcMar>
          </w:tcPr>
          <w:p w14:paraId="06451210"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Eichenbaum</w:t>
            </w:r>
            <w:proofErr w:type="spellEnd"/>
            <w:r>
              <w:rPr>
                <w:rFonts w:ascii="Times New Roman" w:eastAsia="Times New Roman" w:hAnsi="Times New Roman" w:cs="Times New Roman"/>
                <w:sz w:val="16"/>
                <w:szCs w:val="16"/>
              </w:rPr>
              <w:t xml:space="preserve"> et al. (2015)</w:t>
            </w:r>
          </w:p>
        </w:tc>
        <w:tc>
          <w:tcPr>
            <w:tcW w:w="1215" w:type="dxa"/>
            <w:shd w:val="clear" w:color="auto" w:fill="auto"/>
            <w:tcMar>
              <w:top w:w="100" w:type="dxa"/>
              <w:left w:w="100" w:type="dxa"/>
              <w:bottom w:w="100" w:type="dxa"/>
              <w:right w:w="100" w:type="dxa"/>
            </w:tcMar>
          </w:tcPr>
          <w:p w14:paraId="22D291D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03312FB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4744. </w:t>
            </w:r>
            <w:r>
              <w:rPr>
                <w:rFonts w:ascii="Times New Roman" w:eastAsia="Times New Roman" w:hAnsi="Times New Roman" w:cs="Times New Roman"/>
                <w:sz w:val="16"/>
                <w:szCs w:val="16"/>
                <w:highlight w:val="white"/>
              </w:rPr>
              <w:t>Participants were recruited from an Introduction to Psychology class from the University of Wisconsin-Madison.</w:t>
            </w:r>
          </w:p>
        </w:tc>
        <w:tc>
          <w:tcPr>
            <w:tcW w:w="1290" w:type="dxa"/>
            <w:shd w:val="clear" w:color="auto" w:fill="auto"/>
            <w:tcMar>
              <w:top w:w="100" w:type="dxa"/>
              <w:left w:w="100" w:type="dxa"/>
              <w:bottom w:w="100" w:type="dxa"/>
              <w:right w:w="100" w:type="dxa"/>
            </w:tcMar>
          </w:tcPr>
          <w:p w14:paraId="10FF9CD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3930A5C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Genres (RPG, Strategy, Action)</w:t>
            </w:r>
          </w:p>
        </w:tc>
        <w:tc>
          <w:tcPr>
            <w:tcW w:w="4590" w:type="dxa"/>
            <w:shd w:val="clear" w:color="auto" w:fill="auto"/>
            <w:tcMar>
              <w:top w:w="100" w:type="dxa"/>
              <w:left w:w="100" w:type="dxa"/>
              <w:bottom w:w="100" w:type="dxa"/>
              <w:right w:w="100" w:type="dxa"/>
            </w:tcMar>
          </w:tcPr>
          <w:p w14:paraId="1A54CF4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IGD scores were better predicted (by time spent playing) for strategy (RTS) and role-playing (RPF) games than for action games.</w:t>
            </w:r>
          </w:p>
        </w:tc>
      </w:tr>
      <w:tr w:rsidR="00B862B4" w14:paraId="3D2316EA" w14:textId="77777777" w:rsidTr="003055DF">
        <w:tc>
          <w:tcPr>
            <w:tcW w:w="1125" w:type="dxa"/>
            <w:tcBorders>
              <w:top w:val="nil"/>
              <w:left w:val="nil"/>
              <w:bottom w:val="nil"/>
            </w:tcBorders>
            <w:tcMar>
              <w:top w:w="40" w:type="dxa"/>
              <w:left w:w="40" w:type="dxa"/>
              <w:bottom w:w="40" w:type="dxa"/>
              <w:right w:w="40" w:type="dxa"/>
            </w:tcMar>
          </w:tcPr>
          <w:p w14:paraId="45CB644E"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Elliott et al. (2012)</w:t>
            </w:r>
          </w:p>
        </w:tc>
        <w:tc>
          <w:tcPr>
            <w:tcW w:w="1215" w:type="dxa"/>
            <w:shd w:val="clear" w:color="auto" w:fill="auto"/>
            <w:tcMar>
              <w:top w:w="100" w:type="dxa"/>
              <w:left w:w="100" w:type="dxa"/>
              <w:bottom w:w="100" w:type="dxa"/>
              <w:right w:w="100" w:type="dxa"/>
            </w:tcMar>
          </w:tcPr>
          <w:p w14:paraId="26D3D1F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272AAB1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3380. The valid sample was 42% female, 69% white, 11% Black, 13% Latino, 4% Asian, 2% Native, and 2% multiracial or other.</w:t>
            </w:r>
          </w:p>
        </w:tc>
        <w:tc>
          <w:tcPr>
            <w:tcW w:w="1290" w:type="dxa"/>
            <w:shd w:val="clear" w:color="auto" w:fill="auto"/>
            <w:tcMar>
              <w:top w:w="100" w:type="dxa"/>
              <w:left w:w="100" w:type="dxa"/>
              <w:bottom w:w="100" w:type="dxa"/>
              <w:right w:w="100" w:type="dxa"/>
            </w:tcMar>
          </w:tcPr>
          <w:p w14:paraId="2AF2CB0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Engagement, Enjoyment, Time Spent Gaming</w:t>
            </w:r>
          </w:p>
        </w:tc>
        <w:tc>
          <w:tcPr>
            <w:tcW w:w="1515" w:type="dxa"/>
            <w:shd w:val="clear" w:color="auto" w:fill="auto"/>
            <w:tcMar>
              <w:top w:w="100" w:type="dxa"/>
              <w:left w:w="100" w:type="dxa"/>
              <w:bottom w:w="100" w:type="dxa"/>
              <w:right w:w="100" w:type="dxa"/>
            </w:tcMar>
          </w:tcPr>
          <w:p w14:paraId="3F63A96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Genres (Action-Adventure, MMORPG, Other RPG, FPS, Other Shooter, Real Time Strategy, Sports-General, Rhythm, </w:t>
            </w:r>
            <w:proofErr w:type="gramStart"/>
            <w:r>
              <w:rPr>
                <w:rFonts w:ascii="Times New Roman" w:eastAsia="Times New Roman" w:hAnsi="Times New Roman" w:cs="Times New Roman"/>
                <w:sz w:val="16"/>
                <w:szCs w:val="16"/>
              </w:rPr>
              <w:t>Unclassified,  Board</w:t>
            </w:r>
            <w:proofErr w:type="gramEnd"/>
            <w:r>
              <w:rPr>
                <w:rFonts w:ascii="Times New Roman" w:eastAsia="Times New Roman" w:hAnsi="Times New Roman" w:cs="Times New Roman"/>
                <w:sz w:val="16"/>
                <w:szCs w:val="16"/>
              </w:rPr>
              <w:t>/Card games, Puzzle, Sports, Puzzle, Gambling, Driving, Platformer)</w:t>
            </w:r>
          </w:p>
        </w:tc>
        <w:tc>
          <w:tcPr>
            <w:tcW w:w="4590" w:type="dxa"/>
            <w:shd w:val="clear" w:color="auto" w:fill="auto"/>
            <w:tcMar>
              <w:top w:w="100" w:type="dxa"/>
              <w:left w:w="100" w:type="dxa"/>
              <w:bottom w:w="100" w:type="dxa"/>
              <w:right w:w="100" w:type="dxa"/>
            </w:tcMar>
          </w:tcPr>
          <w:p w14:paraId="6D67AB4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Genre of game has significant effects on aspects of video game playing behavior (time played, enjoyment, engagement), even after controlling for demographic factors. Genre also explained significant variance in PVGP. Different genres were either significantly positively correlated with gaming disorder and/or a </w:t>
            </w:r>
            <w:proofErr w:type="gramStart"/>
            <w:r>
              <w:rPr>
                <w:rFonts w:ascii="Times New Roman" w:eastAsia="Times New Roman" w:hAnsi="Times New Roman" w:cs="Times New Roman"/>
                <w:sz w:val="16"/>
                <w:szCs w:val="16"/>
                <w:highlight w:val="white"/>
              </w:rPr>
              <w:t>proxy, or</w:t>
            </w:r>
            <w:proofErr w:type="gramEnd"/>
            <w:r>
              <w:rPr>
                <w:rFonts w:ascii="Times New Roman" w:eastAsia="Times New Roman" w:hAnsi="Times New Roman" w:cs="Times New Roman"/>
                <w:sz w:val="16"/>
                <w:szCs w:val="16"/>
                <w:highlight w:val="white"/>
              </w:rPr>
              <w:t xml:space="preserve"> had no significant relationship.</w:t>
            </w:r>
          </w:p>
        </w:tc>
      </w:tr>
      <w:tr w:rsidR="00B862B4" w14:paraId="516C778E" w14:textId="77777777" w:rsidTr="003055DF">
        <w:tc>
          <w:tcPr>
            <w:tcW w:w="1125" w:type="dxa"/>
            <w:tcBorders>
              <w:top w:val="nil"/>
              <w:bottom w:val="nil"/>
            </w:tcBorders>
            <w:tcMar>
              <w:top w:w="40" w:type="dxa"/>
              <w:left w:w="40" w:type="dxa"/>
              <w:bottom w:w="40" w:type="dxa"/>
              <w:right w:w="40" w:type="dxa"/>
            </w:tcMar>
          </w:tcPr>
          <w:p w14:paraId="0632F18B" w14:textId="77777777" w:rsidR="00B862B4" w:rsidRDefault="00B862B4" w:rsidP="003055DF">
            <w:pPr>
              <w:widowControl w:val="0"/>
              <w:rPr>
                <w:sz w:val="20"/>
                <w:szCs w:val="20"/>
              </w:rPr>
            </w:pPr>
            <w:r>
              <w:rPr>
                <w:rFonts w:ascii="Times New Roman" w:eastAsia="Times New Roman" w:hAnsi="Times New Roman" w:cs="Times New Roman"/>
                <w:sz w:val="16"/>
                <w:szCs w:val="16"/>
              </w:rPr>
              <w:t>Entwistle et al. (2020)</w:t>
            </w:r>
          </w:p>
        </w:tc>
        <w:tc>
          <w:tcPr>
            <w:tcW w:w="1215" w:type="dxa"/>
            <w:shd w:val="clear" w:color="auto" w:fill="auto"/>
            <w:tcMar>
              <w:top w:w="100" w:type="dxa"/>
              <w:left w:w="100" w:type="dxa"/>
              <w:bottom w:w="100" w:type="dxa"/>
              <w:right w:w="100" w:type="dxa"/>
            </w:tcMar>
          </w:tcPr>
          <w:p w14:paraId="6B690F8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38848F9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1958. </w:t>
            </w:r>
            <w:r>
              <w:rPr>
                <w:rFonts w:ascii="Times New Roman" w:eastAsia="Times New Roman" w:hAnsi="Times New Roman" w:cs="Times New Roman"/>
                <w:sz w:val="17"/>
                <w:szCs w:val="17"/>
                <w:highlight w:val="white"/>
              </w:rPr>
              <w:t xml:space="preserve">Of the 1958 participants, males accounted for 1722 participants (87.9%) and females accounted for 236 participants (12.05%). The mean age of the participants </w:t>
            </w:r>
            <w:proofErr w:type="gramStart"/>
            <w:r>
              <w:rPr>
                <w:rFonts w:ascii="Times New Roman" w:eastAsia="Times New Roman" w:hAnsi="Times New Roman" w:cs="Times New Roman"/>
                <w:sz w:val="17"/>
                <w:szCs w:val="17"/>
                <w:highlight w:val="white"/>
              </w:rPr>
              <w:t>were</w:t>
            </w:r>
            <w:proofErr w:type="gramEnd"/>
            <w:r>
              <w:rPr>
                <w:rFonts w:ascii="Times New Roman" w:eastAsia="Times New Roman" w:hAnsi="Times New Roman" w:cs="Times New Roman"/>
                <w:sz w:val="17"/>
                <w:szCs w:val="17"/>
                <w:highlight w:val="white"/>
              </w:rPr>
              <w:t xml:space="preserve"> 31.6 (SD = 10.6) 1722 Males (87.9%).</w:t>
            </w:r>
          </w:p>
        </w:tc>
        <w:tc>
          <w:tcPr>
            <w:tcW w:w="1290" w:type="dxa"/>
            <w:shd w:val="clear" w:color="auto" w:fill="auto"/>
            <w:tcMar>
              <w:top w:w="100" w:type="dxa"/>
              <w:left w:w="100" w:type="dxa"/>
              <w:bottom w:w="100" w:type="dxa"/>
              <w:right w:w="100" w:type="dxa"/>
            </w:tcMar>
          </w:tcPr>
          <w:p w14:paraId="5084A76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0C182D8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Genres (shooting, action/adventure, RPG, simulation, strategy)</w:t>
            </w:r>
          </w:p>
        </w:tc>
        <w:tc>
          <w:tcPr>
            <w:tcW w:w="4590" w:type="dxa"/>
            <w:shd w:val="clear" w:color="auto" w:fill="auto"/>
            <w:tcMar>
              <w:top w:w="100" w:type="dxa"/>
              <w:left w:w="100" w:type="dxa"/>
              <w:bottom w:w="100" w:type="dxa"/>
              <w:right w:w="100" w:type="dxa"/>
            </w:tcMar>
          </w:tcPr>
          <w:p w14:paraId="16979CF1"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There was no link between inherent properties of video games (as measured by game genre) and problematic video game use. There was a small/very-small indirect effect such that primary RPG gamers played more frequently, leading to higher problematic use; however, this was negated by the non-significant direct effect of genre on problem use (when controlling for playtime).</w:t>
            </w:r>
          </w:p>
        </w:tc>
      </w:tr>
      <w:tr w:rsidR="00B862B4" w14:paraId="3D734898" w14:textId="77777777" w:rsidTr="003055DF">
        <w:tc>
          <w:tcPr>
            <w:tcW w:w="1125" w:type="dxa"/>
            <w:tcBorders>
              <w:top w:val="nil"/>
            </w:tcBorders>
            <w:tcMar>
              <w:top w:w="40" w:type="dxa"/>
              <w:left w:w="40" w:type="dxa"/>
              <w:bottom w:w="40" w:type="dxa"/>
              <w:right w:w="40" w:type="dxa"/>
            </w:tcMar>
          </w:tcPr>
          <w:p w14:paraId="493370A8" w14:textId="77777777" w:rsidR="00B862B4" w:rsidRDefault="00B862B4" w:rsidP="003055DF">
            <w:pPr>
              <w:widowControl w:val="0"/>
              <w:rPr>
                <w:sz w:val="20"/>
                <w:szCs w:val="20"/>
              </w:rPr>
            </w:pPr>
            <w:r>
              <w:rPr>
                <w:rFonts w:ascii="Times New Roman" w:eastAsia="Times New Roman" w:hAnsi="Times New Roman" w:cs="Times New Roman"/>
                <w:sz w:val="16"/>
                <w:szCs w:val="16"/>
              </w:rPr>
              <w:t>Ferreira et al. (2021)</w:t>
            </w:r>
          </w:p>
        </w:tc>
        <w:tc>
          <w:tcPr>
            <w:tcW w:w="1215" w:type="dxa"/>
            <w:shd w:val="clear" w:color="auto" w:fill="auto"/>
            <w:tcMar>
              <w:top w:w="100" w:type="dxa"/>
              <w:left w:w="100" w:type="dxa"/>
              <w:bottom w:w="100" w:type="dxa"/>
              <w:right w:w="100" w:type="dxa"/>
            </w:tcMar>
          </w:tcPr>
          <w:p w14:paraId="5575B05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1EFB45F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rPr>
              <w:t xml:space="preserve">A total of 407 students were included in the study (60.93% male, mean age = 14.32, </w:t>
            </w:r>
            <w:r>
              <w:rPr>
                <w:rFonts w:ascii="Times New Roman" w:eastAsia="Times New Roman" w:hAnsi="Times New Roman" w:cs="Times New Roman"/>
                <w:i/>
                <w:sz w:val="17"/>
                <w:szCs w:val="17"/>
              </w:rPr>
              <w:t>SD</w:t>
            </w:r>
            <w:r>
              <w:rPr>
                <w:rFonts w:ascii="Times New Roman" w:eastAsia="Times New Roman" w:hAnsi="Times New Roman" w:cs="Times New Roman"/>
                <w:sz w:val="17"/>
                <w:szCs w:val="17"/>
              </w:rPr>
              <w:t xml:space="preserve"> = 1.86, median age = 14.18). </w:t>
            </w:r>
          </w:p>
        </w:tc>
        <w:tc>
          <w:tcPr>
            <w:tcW w:w="1290" w:type="dxa"/>
            <w:shd w:val="clear" w:color="auto" w:fill="auto"/>
            <w:tcMar>
              <w:top w:w="100" w:type="dxa"/>
              <w:left w:w="100" w:type="dxa"/>
              <w:bottom w:w="100" w:type="dxa"/>
              <w:right w:w="100" w:type="dxa"/>
            </w:tcMar>
          </w:tcPr>
          <w:p w14:paraId="28B6C87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Preference</w:t>
            </w:r>
          </w:p>
        </w:tc>
        <w:tc>
          <w:tcPr>
            <w:tcW w:w="1515" w:type="dxa"/>
            <w:shd w:val="clear" w:color="auto" w:fill="auto"/>
            <w:tcMar>
              <w:top w:w="100" w:type="dxa"/>
              <w:left w:w="100" w:type="dxa"/>
              <w:bottom w:w="100" w:type="dxa"/>
              <w:right w:w="100" w:type="dxa"/>
            </w:tcMar>
          </w:tcPr>
          <w:p w14:paraId="0735C452" w14:textId="77777777" w:rsidR="00B862B4" w:rsidRPr="00F818C8" w:rsidRDefault="00B862B4" w:rsidP="003055DF">
            <w:pPr>
              <w:widowControl w:val="0"/>
              <w:spacing w:line="240" w:lineRule="auto"/>
              <w:rPr>
                <w:rFonts w:ascii="Times New Roman" w:eastAsia="Times New Roman" w:hAnsi="Times New Roman" w:cs="Times New Roman"/>
                <w:sz w:val="17"/>
                <w:szCs w:val="17"/>
                <w:highlight w:val="white"/>
                <w:lang w:val="fr-FR"/>
              </w:rPr>
            </w:pPr>
            <w:r w:rsidRPr="00F818C8">
              <w:rPr>
                <w:rFonts w:ascii="Times New Roman" w:eastAsia="Times New Roman" w:hAnsi="Times New Roman" w:cs="Times New Roman"/>
                <w:sz w:val="17"/>
                <w:szCs w:val="17"/>
                <w:highlight w:val="white"/>
                <w:lang w:val="fr-FR"/>
              </w:rPr>
              <w:t>Genres (FPS, RPG, Puzzles, Simulation)</w:t>
            </w:r>
          </w:p>
        </w:tc>
        <w:tc>
          <w:tcPr>
            <w:tcW w:w="4590" w:type="dxa"/>
            <w:shd w:val="clear" w:color="auto" w:fill="auto"/>
            <w:tcMar>
              <w:top w:w="100" w:type="dxa"/>
              <w:left w:w="100" w:type="dxa"/>
              <w:bottom w:w="100" w:type="dxa"/>
              <w:right w:w="100" w:type="dxa"/>
            </w:tcMar>
          </w:tcPr>
          <w:p w14:paraId="34B922A8" w14:textId="77777777" w:rsidR="00B862B4" w:rsidRDefault="00B862B4" w:rsidP="003055DF">
            <w:pPr>
              <w:widowControl w:val="0"/>
              <w:spacing w:line="240" w:lineRule="auto"/>
              <w:rPr>
                <w:rFonts w:ascii="Times New Roman" w:eastAsia="Times New Roman" w:hAnsi="Times New Roman" w:cs="Times New Roman"/>
                <w:sz w:val="17"/>
                <w:szCs w:val="17"/>
                <w:highlight w:val="white"/>
              </w:rPr>
            </w:pPr>
            <w:r>
              <w:rPr>
                <w:rFonts w:ascii="Times New Roman" w:eastAsia="Times New Roman" w:hAnsi="Times New Roman" w:cs="Times New Roman"/>
                <w:sz w:val="17"/>
                <w:szCs w:val="17"/>
                <w:highlight w:val="white"/>
              </w:rPr>
              <w:t xml:space="preserve">Only those who played RPG, first person shooters, and puzzle/simulator games scored significantly higher on the Gaming Addiction Scale. Gaming disorder rates increased proportionally to the number of genres played. Action was the </w:t>
            </w:r>
            <w:proofErr w:type="gramStart"/>
            <w:r>
              <w:rPr>
                <w:rFonts w:ascii="Times New Roman" w:eastAsia="Times New Roman" w:hAnsi="Times New Roman" w:cs="Times New Roman"/>
                <w:sz w:val="17"/>
                <w:szCs w:val="17"/>
                <w:highlight w:val="white"/>
              </w:rPr>
              <w:t>most commonly played</w:t>
            </w:r>
            <w:proofErr w:type="gramEnd"/>
            <w:r>
              <w:rPr>
                <w:rFonts w:ascii="Times New Roman" w:eastAsia="Times New Roman" w:hAnsi="Times New Roman" w:cs="Times New Roman"/>
                <w:sz w:val="17"/>
                <w:szCs w:val="17"/>
                <w:highlight w:val="white"/>
              </w:rPr>
              <w:t xml:space="preserve"> genre (75.82%), followed by first person shooters (56.48%). The least played genre was RPG (24.4%).</w:t>
            </w:r>
          </w:p>
        </w:tc>
      </w:tr>
      <w:tr w:rsidR="00B862B4" w14:paraId="25F5159E" w14:textId="77777777" w:rsidTr="003055DF">
        <w:trPr>
          <w:trHeight w:val="1410"/>
        </w:trPr>
        <w:tc>
          <w:tcPr>
            <w:tcW w:w="1125" w:type="dxa"/>
            <w:tcBorders>
              <w:bottom w:val="nil"/>
            </w:tcBorders>
            <w:tcMar>
              <w:top w:w="40" w:type="dxa"/>
              <w:left w:w="40" w:type="dxa"/>
              <w:bottom w:w="40" w:type="dxa"/>
              <w:right w:w="40" w:type="dxa"/>
            </w:tcMar>
          </w:tcPr>
          <w:p w14:paraId="0AB4C697" w14:textId="77777777" w:rsidR="00B862B4" w:rsidRDefault="00B862B4" w:rsidP="003055DF">
            <w:pPr>
              <w:widowControl w:val="0"/>
              <w:rPr>
                <w:sz w:val="20"/>
                <w:szCs w:val="20"/>
              </w:rPr>
            </w:pPr>
            <w:r>
              <w:rPr>
                <w:rFonts w:ascii="Times New Roman" w:eastAsia="Times New Roman" w:hAnsi="Times New Roman" w:cs="Times New Roman"/>
                <w:sz w:val="16"/>
                <w:szCs w:val="16"/>
              </w:rPr>
              <w:lastRenderedPageBreak/>
              <w:t>Green et al. (2021)</w:t>
            </w:r>
          </w:p>
        </w:tc>
        <w:tc>
          <w:tcPr>
            <w:tcW w:w="1215" w:type="dxa"/>
            <w:shd w:val="clear" w:color="auto" w:fill="auto"/>
            <w:tcMar>
              <w:top w:w="100" w:type="dxa"/>
              <w:left w:w="100" w:type="dxa"/>
              <w:bottom w:w="100" w:type="dxa"/>
              <w:right w:w="100" w:type="dxa"/>
            </w:tcMar>
          </w:tcPr>
          <w:p w14:paraId="54333A6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2955" w:type="dxa"/>
            <w:shd w:val="clear" w:color="auto" w:fill="auto"/>
            <w:tcMar>
              <w:top w:w="100" w:type="dxa"/>
              <w:left w:w="100" w:type="dxa"/>
              <w:bottom w:w="100" w:type="dxa"/>
              <w:right w:w="100" w:type="dxa"/>
            </w:tcMar>
          </w:tcPr>
          <w:p w14:paraId="4C53D64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 total of 993 adult participants, mostly male (73%; n 5 725) with a mean age of 26.4 years (SD 5 8.1) were recruited.</w:t>
            </w:r>
          </w:p>
        </w:tc>
        <w:tc>
          <w:tcPr>
            <w:tcW w:w="1290" w:type="dxa"/>
            <w:shd w:val="clear" w:color="auto" w:fill="auto"/>
            <w:tcMar>
              <w:top w:w="100" w:type="dxa"/>
              <w:left w:w="100" w:type="dxa"/>
              <w:bottom w:w="100" w:type="dxa"/>
              <w:right w:w="100" w:type="dxa"/>
            </w:tcMar>
          </w:tcPr>
          <w:p w14:paraId="474F8A3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5175B9C4"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Avatar presence</w:t>
            </w:r>
          </w:p>
        </w:tc>
        <w:tc>
          <w:tcPr>
            <w:tcW w:w="4590" w:type="dxa"/>
            <w:shd w:val="clear" w:color="auto" w:fill="auto"/>
            <w:tcMar>
              <w:top w:w="100" w:type="dxa"/>
              <w:left w:w="100" w:type="dxa"/>
              <w:bottom w:w="100" w:type="dxa"/>
              <w:right w:w="100" w:type="dxa"/>
            </w:tcMar>
          </w:tcPr>
          <w:p w14:paraId="2C647BFB"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 xml:space="preserve">The relationship between avatars and problematic gaming was largely unclear or inconsistent, and refuted by some participants. There were no clear examples of how the avatar was an active structural feature of the game that affected excessive gaming. In contrast, there were many clear examples of how the avatar was not considered the relevant ‘addictive’ component of gaming. </w:t>
            </w:r>
          </w:p>
        </w:tc>
      </w:tr>
      <w:tr w:rsidR="00B862B4" w14:paraId="605F37E3" w14:textId="77777777" w:rsidTr="003055DF">
        <w:trPr>
          <w:trHeight w:val="1410"/>
        </w:trPr>
        <w:tc>
          <w:tcPr>
            <w:tcW w:w="1125" w:type="dxa"/>
            <w:tcBorders>
              <w:top w:val="nil"/>
            </w:tcBorders>
            <w:tcMar>
              <w:top w:w="40" w:type="dxa"/>
              <w:left w:w="40" w:type="dxa"/>
              <w:bottom w:w="40" w:type="dxa"/>
              <w:right w:w="40" w:type="dxa"/>
            </w:tcMar>
          </w:tcPr>
          <w:p w14:paraId="464B022D" w14:textId="77777777" w:rsidR="00B862B4" w:rsidRDefault="00B862B4" w:rsidP="003055DF">
            <w:pPr>
              <w:widowControl w:val="0"/>
              <w:rPr>
                <w:sz w:val="20"/>
                <w:szCs w:val="20"/>
              </w:rPr>
            </w:pPr>
            <w:r>
              <w:rPr>
                <w:rFonts w:ascii="Times New Roman" w:eastAsia="Times New Roman" w:hAnsi="Times New Roman" w:cs="Times New Roman"/>
                <w:sz w:val="16"/>
                <w:szCs w:val="16"/>
              </w:rPr>
              <w:t>Green et al. (2021)</w:t>
            </w:r>
          </w:p>
        </w:tc>
        <w:tc>
          <w:tcPr>
            <w:tcW w:w="1215" w:type="dxa"/>
            <w:shd w:val="clear" w:color="auto" w:fill="auto"/>
            <w:tcMar>
              <w:top w:w="100" w:type="dxa"/>
              <w:left w:w="100" w:type="dxa"/>
              <w:bottom w:w="100" w:type="dxa"/>
              <w:right w:w="100" w:type="dxa"/>
            </w:tcMar>
          </w:tcPr>
          <w:p w14:paraId="469F3F8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6550D4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A total of 993 adult participants (73% male; n = 725) with a mean age of 26.4 years (SD = 8.1) were recruited.</w:t>
            </w:r>
          </w:p>
        </w:tc>
        <w:tc>
          <w:tcPr>
            <w:tcW w:w="1290" w:type="dxa"/>
            <w:shd w:val="clear" w:color="auto" w:fill="auto"/>
            <w:tcMar>
              <w:top w:w="100" w:type="dxa"/>
              <w:left w:w="100" w:type="dxa"/>
              <w:bottom w:w="100" w:type="dxa"/>
              <w:right w:w="100" w:type="dxa"/>
            </w:tcMar>
          </w:tcPr>
          <w:p w14:paraId="67EC85C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77D5540C"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Avatar presence</w:t>
            </w:r>
          </w:p>
        </w:tc>
        <w:tc>
          <w:tcPr>
            <w:tcW w:w="4590" w:type="dxa"/>
            <w:shd w:val="clear" w:color="auto" w:fill="auto"/>
            <w:tcMar>
              <w:top w:w="100" w:type="dxa"/>
              <w:left w:w="100" w:type="dxa"/>
              <w:bottom w:w="100" w:type="dxa"/>
              <w:right w:w="100" w:type="dxa"/>
            </w:tcMar>
          </w:tcPr>
          <w:p w14:paraId="4E063D01"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Avatar identification was modestly associated with problematic gaming in bivariate and multi-variate analyses. Avatar identification was not associated with time spent playing the game.</w:t>
            </w:r>
          </w:p>
        </w:tc>
      </w:tr>
      <w:tr w:rsidR="00B862B4" w14:paraId="2CE9E577" w14:textId="77777777" w:rsidTr="003055DF">
        <w:tc>
          <w:tcPr>
            <w:tcW w:w="1125" w:type="dxa"/>
            <w:tcBorders>
              <w:top w:val="nil"/>
              <w:left w:val="nil"/>
              <w:bottom w:val="nil"/>
              <w:right w:val="nil"/>
            </w:tcBorders>
            <w:tcMar>
              <w:top w:w="40" w:type="dxa"/>
              <w:left w:w="40" w:type="dxa"/>
              <w:bottom w:w="40" w:type="dxa"/>
              <w:right w:w="40" w:type="dxa"/>
            </w:tcMar>
          </w:tcPr>
          <w:p w14:paraId="1E27CEC8"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Haagsma</w:t>
            </w:r>
            <w:proofErr w:type="spellEnd"/>
            <w:r>
              <w:rPr>
                <w:rFonts w:ascii="Times New Roman" w:eastAsia="Times New Roman" w:hAnsi="Times New Roman" w:cs="Times New Roman"/>
                <w:sz w:val="16"/>
                <w:szCs w:val="16"/>
              </w:rPr>
              <w:t xml:space="preserve"> et al. (2012)</w:t>
            </w:r>
          </w:p>
        </w:tc>
        <w:tc>
          <w:tcPr>
            <w:tcW w:w="1215" w:type="dxa"/>
            <w:shd w:val="clear" w:color="auto" w:fill="auto"/>
            <w:tcMar>
              <w:top w:w="100" w:type="dxa"/>
              <w:left w:w="100" w:type="dxa"/>
              <w:bottom w:w="100" w:type="dxa"/>
              <w:right w:w="100" w:type="dxa"/>
            </w:tcMar>
          </w:tcPr>
          <w:p w14:paraId="7834978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14A73F0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902. </w:t>
            </w:r>
            <w:r>
              <w:rPr>
                <w:rFonts w:ascii="Times New Roman" w:eastAsia="Times New Roman" w:hAnsi="Times New Roman" w:cs="Times New Roman"/>
                <w:sz w:val="16"/>
                <w:szCs w:val="16"/>
                <w:highlight w:val="white"/>
              </w:rPr>
              <w:t>There were 47.1% male (n = 425) and 52.8% female participants (n = 476).</w:t>
            </w:r>
          </w:p>
        </w:tc>
        <w:tc>
          <w:tcPr>
            <w:tcW w:w="1290" w:type="dxa"/>
            <w:shd w:val="clear" w:color="auto" w:fill="auto"/>
            <w:tcMar>
              <w:top w:w="100" w:type="dxa"/>
              <w:left w:w="100" w:type="dxa"/>
              <w:bottom w:w="100" w:type="dxa"/>
              <w:right w:w="100" w:type="dxa"/>
            </w:tcMar>
          </w:tcPr>
          <w:p w14:paraId="6F2A204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 Preference</w:t>
            </w:r>
          </w:p>
        </w:tc>
        <w:tc>
          <w:tcPr>
            <w:tcW w:w="1515" w:type="dxa"/>
            <w:shd w:val="clear" w:color="auto" w:fill="auto"/>
            <w:tcMar>
              <w:top w:w="100" w:type="dxa"/>
              <w:left w:w="100" w:type="dxa"/>
              <w:bottom w:w="100" w:type="dxa"/>
              <w:right w:w="100" w:type="dxa"/>
            </w:tcMar>
          </w:tcPr>
          <w:p w14:paraId="3E25F04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 (</w:t>
            </w:r>
            <w:r>
              <w:rPr>
                <w:rFonts w:ascii="Times New Roman" w:eastAsia="Times New Roman" w:hAnsi="Times New Roman" w:cs="Times New Roman"/>
                <w:sz w:val="16"/>
                <w:szCs w:val="16"/>
                <w:highlight w:val="white"/>
              </w:rPr>
              <w:t>MMORPG)</w:t>
            </w:r>
          </w:p>
        </w:tc>
        <w:tc>
          <w:tcPr>
            <w:tcW w:w="4590" w:type="dxa"/>
            <w:shd w:val="clear" w:color="auto" w:fill="auto"/>
            <w:tcMar>
              <w:top w:w="100" w:type="dxa"/>
              <w:left w:w="100" w:type="dxa"/>
              <w:bottom w:w="100" w:type="dxa"/>
              <w:right w:w="100" w:type="dxa"/>
            </w:tcMar>
          </w:tcPr>
          <w:p w14:paraId="507ED62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Online gamers scored higher on problematic gaming than players of offline casual games (this genre-related difference was significant for males, but not for females). Online gamers, especially those who played MMORPGs and virtual worlds, played for more hours per week. Hours spent on gaming was positively related with problematic game use.</w:t>
            </w:r>
          </w:p>
        </w:tc>
      </w:tr>
      <w:tr w:rsidR="00B862B4" w14:paraId="6D13B867" w14:textId="77777777" w:rsidTr="003055DF">
        <w:tc>
          <w:tcPr>
            <w:tcW w:w="1125" w:type="dxa"/>
            <w:tcBorders>
              <w:top w:val="nil"/>
              <w:left w:val="nil"/>
              <w:right w:val="nil"/>
            </w:tcBorders>
            <w:tcMar>
              <w:top w:w="40" w:type="dxa"/>
              <w:left w:w="40" w:type="dxa"/>
              <w:bottom w:w="40" w:type="dxa"/>
              <w:right w:w="40" w:type="dxa"/>
            </w:tcMar>
          </w:tcPr>
          <w:p w14:paraId="2414DD8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Han et al. (2020)</w:t>
            </w:r>
          </w:p>
        </w:tc>
        <w:tc>
          <w:tcPr>
            <w:tcW w:w="1215" w:type="dxa"/>
            <w:shd w:val="clear" w:color="auto" w:fill="auto"/>
            <w:tcMar>
              <w:top w:w="100" w:type="dxa"/>
              <w:left w:w="100" w:type="dxa"/>
              <w:bottom w:w="100" w:type="dxa"/>
              <w:right w:w="100" w:type="dxa"/>
            </w:tcMar>
          </w:tcPr>
          <w:p w14:paraId="4F83289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75B9B4B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1532 </w:t>
            </w:r>
            <w:r>
              <w:rPr>
                <w:rFonts w:ascii="Times New Roman" w:eastAsia="Times New Roman" w:hAnsi="Times New Roman" w:cs="Times New Roman"/>
                <w:sz w:val="16"/>
                <w:szCs w:val="16"/>
                <w:highlight w:val="white"/>
              </w:rPr>
              <w:t xml:space="preserve">participants were recruited from 21 middle </w:t>
            </w:r>
            <w:proofErr w:type="gramStart"/>
            <w:r>
              <w:rPr>
                <w:rFonts w:ascii="Times New Roman" w:eastAsia="Times New Roman" w:hAnsi="Times New Roman" w:cs="Times New Roman"/>
                <w:sz w:val="16"/>
                <w:szCs w:val="16"/>
                <w:highlight w:val="white"/>
              </w:rPr>
              <w:t>schools, and</w:t>
            </w:r>
            <w:proofErr w:type="gramEnd"/>
            <w:r>
              <w:rPr>
                <w:rFonts w:ascii="Times New Roman" w:eastAsia="Times New Roman" w:hAnsi="Times New Roman" w:cs="Times New Roman"/>
                <w:sz w:val="16"/>
                <w:szCs w:val="16"/>
                <w:highlight w:val="white"/>
              </w:rPr>
              <w:t xml:space="preserve"> included 1036 boys (67.6%) and 496 girls (32.4%).</w:t>
            </w:r>
          </w:p>
        </w:tc>
        <w:tc>
          <w:tcPr>
            <w:tcW w:w="1290" w:type="dxa"/>
            <w:shd w:val="clear" w:color="auto" w:fill="auto"/>
            <w:tcMar>
              <w:top w:w="100" w:type="dxa"/>
              <w:left w:w="100" w:type="dxa"/>
              <w:bottom w:w="100" w:type="dxa"/>
              <w:right w:w="100" w:type="dxa"/>
            </w:tcMar>
          </w:tcPr>
          <w:p w14:paraId="7057050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5569E0F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Genres (RPG, shooting, MOBA, simulation, and action games)</w:t>
            </w:r>
          </w:p>
        </w:tc>
        <w:tc>
          <w:tcPr>
            <w:tcW w:w="4590" w:type="dxa"/>
            <w:shd w:val="clear" w:color="auto" w:fill="auto"/>
            <w:tcMar>
              <w:top w:w="100" w:type="dxa"/>
              <w:left w:w="100" w:type="dxa"/>
              <w:bottom w:w="100" w:type="dxa"/>
              <w:right w:w="100" w:type="dxa"/>
            </w:tcMar>
          </w:tcPr>
          <w:p w14:paraId="59E97AA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Among first year-middle school students, five game genres (RPG, shooting, MOBA, simulation, and action games), the subjects with an experience of each genre showed longer game time than those without. The authors note that online game time is one of the main risk factors for IGD.</w:t>
            </w:r>
          </w:p>
        </w:tc>
      </w:tr>
      <w:tr w:rsidR="00B862B4" w14:paraId="0AEBC891" w14:textId="77777777" w:rsidTr="003055DF">
        <w:tc>
          <w:tcPr>
            <w:tcW w:w="1125" w:type="dxa"/>
            <w:tcBorders>
              <w:bottom w:val="nil"/>
            </w:tcBorders>
            <w:tcMar>
              <w:top w:w="40" w:type="dxa"/>
              <w:left w:w="40" w:type="dxa"/>
              <w:bottom w:w="40" w:type="dxa"/>
              <w:right w:w="40" w:type="dxa"/>
            </w:tcMar>
          </w:tcPr>
          <w:p w14:paraId="28962FCB" w14:textId="77777777" w:rsidR="00B862B4" w:rsidRDefault="00B862B4" w:rsidP="003055DF">
            <w:pPr>
              <w:widowControl w:val="0"/>
              <w:jc w:val="center"/>
              <w:rPr>
                <w:sz w:val="20"/>
                <w:szCs w:val="20"/>
              </w:rPr>
            </w:pPr>
            <w:r>
              <w:rPr>
                <w:rFonts w:ascii="Times New Roman" w:eastAsia="Times New Roman" w:hAnsi="Times New Roman" w:cs="Times New Roman"/>
                <w:sz w:val="16"/>
                <w:szCs w:val="16"/>
              </w:rPr>
              <w:t>Hao et al. (2020)</w:t>
            </w:r>
          </w:p>
        </w:tc>
        <w:tc>
          <w:tcPr>
            <w:tcW w:w="1215" w:type="dxa"/>
            <w:shd w:val="clear" w:color="auto" w:fill="auto"/>
            <w:tcMar>
              <w:top w:w="100" w:type="dxa"/>
              <w:left w:w="100" w:type="dxa"/>
              <w:bottom w:w="100" w:type="dxa"/>
              <w:right w:w="100" w:type="dxa"/>
            </w:tcMar>
          </w:tcPr>
          <w:p w14:paraId="24B459A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35DF825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530. </w:t>
            </w:r>
            <w:r>
              <w:rPr>
                <w:rFonts w:ascii="Times New Roman" w:eastAsia="Times New Roman" w:hAnsi="Times New Roman" w:cs="Times New Roman"/>
                <w:sz w:val="17"/>
                <w:szCs w:val="17"/>
                <w:highlight w:val="white"/>
              </w:rPr>
              <w:t>Among the respondents, 48.6% were men and 51.4% were women; 92.6% were undergraduate students and 7.4% were graduates; and their ages ranged from 18 to 25 years (</w:t>
            </w:r>
            <w:r>
              <w:rPr>
                <w:rFonts w:ascii="Times New Roman" w:eastAsia="Times New Roman" w:hAnsi="Times New Roman" w:cs="Times New Roman"/>
                <w:i/>
                <w:sz w:val="17"/>
                <w:szCs w:val="17"/>
                <w:highlight w:val="white"/>
              </w:rPr>
              <w:t>Mage</w:t>
            </w:r>
            <w:r>
              <w:rPr>
                <w:rFonts w:ascii="Times New Roman" w:eastAsia="Times New Roman" w:hAnsi="Times New Roman" w:cs="Times New Roman"/>
                <w:sz w:val="17"/>
                <w:szCs w:val="17"/>
                <w:highlight w:val="white"/>
              </w:rPr>
              <w:t xml:space="preserve"> = 20.57, </w:t>
            </w:r>
            <w:r>
              <w:rPr>
                <w:rFonts w:ascii="Times New Roman" w:eastAsia="Times New Roman" w:hAnsi="Times New Roman" w:cs="Times New Roman"/>
                <w:i/>
                <w:sz w:val="17"/>
                <w:szCs w:val="17"/>
                <w:highlight w:val="white"/>
              </w:rPr>
              <w:t>SD</w:t>
            </w:r>
            <w:r>
              <w:rPr>
                <w:rFonts w:ascii="Times New Roman" w:eastAsia="Times New Roman" w:hAnsi="Times New Roman" w:cs="Times New Roman"/>
                <w:sz w:val="17"/>
                <w:szCs w:val="17"/>
                <w:highlight w:val="white"/>
              </w:rPr>
              <w:t xml:space="preserve"> = 2.95).</w:t>
            </w:r>
          </w:p>
        </w:tc>
        <w:tc>
          <w:tcPr>
            <w:tcW w:w="1290" w:type="dxa"/>
            <w:shd w:val="clear" w:color="auto" w:fill="auto"/>
            <w:tcMar>
              <w:top w:w="100" w:type="dxa"/>
              <w:left w:w="100" w:type="dxa"/>
              <w:bottom w:w="100" w:type="dxa"/>
              <w:right w:w="100" w:type="dxa"/>
            </w:tcMar>
          </w:tcPr>
          <w:p w14:paraId="5A98A31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2CB6895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 (strategy)</w:t>
            </w:r>
          </w:p>
        </w:tc>
        <w:tc>
          <w:tcPr>
            <w:tcW w:w="4590" w:type="dxa"/>
            <w:shd w:val="clear" w:color="auto" w:fill="auto"/>
            <w:tcMar>
              <w:top w:w="100" w:type="dxa"/>
              <w:left w:w="100" w:type="dxa"/>
              <w:bottom w:w="100" w:type="dxa"/>
              <w:right w:w="100" w:type="dxa"/>
            </w:tcMar>
          </w:tcPr>
          <w:p w14:paraId="71C0C25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This study found that frequent in-game social interactions in MMOGs are positively related to gamers’ gaming disorder. Online social capital was the mechanism underlying the effect of in-game social interaction on gaming disorder. To some extent, by providing gamers an opportunity to build social relationships with other gamers and the group, MMORPGs are potentially addictive applications in the same way as social network services are.</w:t>
            </w:r>
          </w:p>
        </w:tc>
      </w:tr>
      <w:tr w:rsidR="00B862B4" w14:paraId="021191A6" w14:textId="77777777" w:rsidTr="003055DF">
        <w:tc>
          <w:tcPr>
            <w:tcW w:w="1125" w:type="dxa"/>
            <w:tcBorders>
              <w:top w:val="nil"/>
            </w:tcBorders>
            <w:tcMar>
              <w:top w:w="40" w:type="dxa"/>
              <w:left w:w="40" w:type="dxa"/>
              <w:bottom w:w="40" w:type="dxa"/>
              <w:right w:w="40" w:type="dxa"/>
            </w:tcMar>
          </w:tcPr>
          <w:p w14:paraId="127A110F" w14:textId="77777777" w:rsidR="00B862B4" w:rsidRDefault="00B862B4" w:rsidP="003055DF">
            <w:pPr>
              <w:widowControl w:val="0"/>
              <w:rPr>
                <w:sz w:val="20"/>
                <w:szCs w:val="20"/>
              </w:rPr>
            </w:pPr>
            <w:r>
              <w:rPr>
                <w:rFonts w:ascii="Times New Roman" w:eastAsia="Times New Roman" w:hAnsi="Times New Roman" w:cs="Times New Roman"/>
                <w:sz w:val="16"/>
                <w:szCs w:val="16"/>
              </w:rPr>
              <w:t>Heng et al. (2021)</w:t>
            </w:r>
          </w:p>
        </w:tc>
        <w:tc>
          <w:tcPr>
            <w:tcW w:w="1215" w:type="dxa"/>
            <w:shd w:val="clear" w:color="auto" w:fill="auto"/>
            <w:tcMar>
              <w:top w:w="100" w:type="dxa"/>
              <w:left w:w="100" w:type="dxa"/>
              <w:bottom w:w="100" w:type="dxa"/>
              <w:right w:w="100" w:type="dxa"/>
            </w:tcMar>
          </w:tcPr>
          <w:p w14:paraId="6FED30A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796F9BE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457 participants (62.4% male, 37.6% female), ages ranging from 18 to 23 years old (</w:t>
            </w:r>
            <w:r>
              <w:rPr>
                <w:rFonts w:ascii="Times New Roman" w:eastAsia="Times New Roman" w:hAnsi="Times New Roman" w:cs="Times New Roman"/>
                <w:i/>
                <w:sz w:val="17"/>
                <w:szCs w:val="17"/>
                <w:highlight w:val="white"/>
              </w:rPr>
              <w:t>M</w:t>
            </w:r>
            <w:r>
              <w:rPr>
                <w:rFonts w:ascii="Times New Roman" w:eastAsia="Times New Roman" w:hAnsi="Times New Roman" w:cs="Times New Roman"/>
                <w:sz w:val="17"/>
                <w:szCs w:val="17"/>
                <w:highlight w:val="white"/>
              </w:rPr>
              <w:t xml:space="preserve"> = 19.81, </w:t>
            </w:r>
            <w:r>
              <w:rPr>
                <w:rFonts w:ascii="Times New Roman" w:eastAsia="Times New Roman" w:hAnsi="Times New Roman" w:cs="Times New Roman"/>
                <w:i/>
                <w:sz w:val="17"/>
                <w:szCs w:val="17"/>
                <w:highlight w:val="white"/>
              </w:rPr>
              <w:t>SD</w:t>
            </w:r>
            <w:r>
              <w:rPr>
                <w:rFonts w:ascii="Times New Roman" w:eastAsia="Times New Roman" w:hAnsi="Times New Roman" w:cs="Times New Roman"/>
                <w:sz w:val="17"/>
                <w:szCs w:val="17"/>
                <w:highlight w:val="white"/>
              </w:rPr>
              <w:t xml:space="preserve"> = 1.36) completed the survey.</w:t>
            </w:r>
          </w:p>
        </w:tc>
        <w:tc>
          <w:tcPr>
            <w:tcW w:w="1290" w:type="dxa"/>
            <w:shd w:val="clear" w:color="auto" w:fill="auto"/>
            <w:tcMar>
              <w:top w:w="100" w:type="dxa"/>
              <w:left w:w="100" w:type="dxa"/>
              <w:bottom w:w="100" w:type="dxa"/>
              <w:right w:w="100" w:type="dxa"/>
            </w:tcMar>
          </w:tcPr>
          <w:p w14:paraId="49BDD4A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1293C06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General socialization features, guilds/clans/teams, multiplayer</w:t>
            </w:r>
          </w:p>
        </w:tc>
        <w:tc>
          <w:tcPr>
            <w:tcW w:w="4590" w:type="dxa"/>
            <w:shd w:val="clear" w:color="auto" w:fill="auto"/>
            <w:tcMar>
              <w:top w:w="100" w:type="dxa"/>
              <w:left w:w="100" w:type="dxa"/>
              <w:bottom w:w="100" w:type="dxa"/>
              <w:right w:w="100" w:type="dxa"/>
            </w:tcMar>
          </w:tcPr>
          <w:p w14:paraId="49489F3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 xml:space="preserve">This study found that frequent in-game social interactions in MMOGs are positively related to gamers’ gaming disorder. Online social capital was the mechanism underlying the effect of in-game social interaction on gaming disorder. To some extent, by providing gamers an opportunity to build social relationships with other gamers and the group, MMORPGs are potentially addictive applications in the same way as social </w:t>
            </w:r>
            <w:r>
              <w:rPr>
                <w:rFonts w:ascii="Times New Roman" w:eastAsia="Times New Roman" w:hAnsi="Times New Roman" w:cs="Times New Roman"/>
                <w:sz w:val="17"/>
                <w:szCs w:val="17"/>
                <w:highlight w:val="white"/>
              </w:rPr>
              <w:lastRenderedPageBreak/>
              <w:t>network services are.</w:t>
            </w:r>
          </w:p>
        </w:tc>
      </w:tr>
      <w:tr w:rsidR="00B862B4" w14:paraId="2423614A" w14:textId="77777777" w:rsidTr="003055DF">
        <w:trPr>
          <w:trHeight w:val="1110"/>
        </w:trPr>
        <w:tc>
          <w:tcPr>
            <w:tcW w:w="1125" w:type="dxa"/>
            <w:tcBorders>
              <w:top w:val="nil"/>
              <w:left w:val="nil"/>
              <w:bottom w:val="nil"/>
              <w:right w:val="nil"/>
            </w:tcBorders>
            <w:tcMar>
              <w:top w:w="40" w:type="dxa"/>
              <w:left w:w="40" w:type="dxa"/>
              <w:bottom w:w="40" w:type="dxa"/>
              <w:right w:w="40" w:type="dxa"/>
            </w:tcMar>
          </w:tcPr>
          <w:p w14:paraId="770D4067"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Hu et al. (2019)</w:t>
            </w:r>
          </w:p>
        </w:tc>
        <w:tc>
          <w:tcPr>
            <w:tcW w:w="1215" w:type="dxa"/>
            <w:shd w:val="clear" w:color="auto" w:fill="auto"/>
            <w:tcMar>
              <w:top w:w="100" w:type="dxa"/>
              <w:left w:w="100" w:type="dxa"/>
              <w:bottom w:w="100" w:type="dxa"/>
              <w:right w:w="100" w:type="dxa"/>
            </w:tcMar>
          </w:tcPr>
          <w:p w14:paraId="526CAAF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2DE8177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 xml:space="preserve">N </w:t>
            </w:r>
            <w:r>
              <w:rPr>
                <w:rFonts w:ascii="Times New Roman" w:eastAsia="Times New Roman" w:hAnsi="Times New Roman" w:cs="Times New Roman"/>
                <w:sz w:val="16"/>
                <w:szCs w:val="16"/>
              </w:rPr>
              <w:t xml:space="preserve">= 237. </w:t>
            </w:r>
            <w:proofErr w:type="gramStart"/>
            <w:r>
              <w:rPr>
                <w:rFonts w:ascii="Times New Roman" w:eastAsia="Times New Roman" w:hAnsi="Times New Roman" w:cs="Times New Roman"/>
                <w:sz w:val="16"/>
                <w:szCs w:val="16"/>
                <w:highlight w:val="white"/>
              </w:rPr>
              <w:t>The majority of</w:t>
            </w:r>
            <w:proofErr w:type="gramEnd"/>
            <w:r>
              <w:rPr>
                <w:rFonts w:ascii="Times New Roman" w:eastAsia="Times New Roman" w:hAnsi="Times New Roman" w:cs="Times New Roman"/>
                <w:sz w:val="16"/>
                <w:szCs w:val="16"/>
                <w:highlight w:val="white"/>
              </w:rPr>
              <w:t xml:space="preserve"> participants were Australian and New Zealand gamers (</w:t>
            </w: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177; 66.1% males), and the remainder were international participants (</w:t>
            </w: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60). </w:t>
            </w:r>
          </w:p>
        </w:tc>
        <w:tc>
          <w:tcPr>
            <w:tcW w:w="1290" w:type="dxa"/>
            <w:shd w:val="clear" w:color="auto" w:fill="auto"/>
            <w:tcMar>
              <w:top w:w="100" w:type="dxa"/>
              <w:left w:w="100" w:type="dxa"/>
              <w:bottom w:w="100" w:type="dxa"/>
              <w:right w:w="100" w:type="dxa"/>
            </w:tcMar>
          </w:tcPr>
          <w:p w14:paraId="3BD8A6C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 Preference</w:t>
            </w:r>
          </w:p>
        </w:tc>
        <w:tc>
          <w:tcPr>
            <w:tcW w:w="1515" w:type="dxa"/>
            <w:shd w:val="clear" w:color="auto" w:fill="auto"/>
            <w:tcMar>
              <w:top w:w="100" w:type="dxa"/>
              <w:left w:w="100" w:type="dxa"/>
              <w:bottom w:w="100" w:type="dxa"/>
              <w:right w:w="100" w:type="dxa"/>
            </w:tcMar>
          </w:tcPr>
          <w:p w14:paraId="0183719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In-game socialization</w:t>
            </w:r>
          </w:p>
        </w:tc>
        <w:tc>
          <w:tcPr>
            <w:tcW w:w="4590" w:type="dxa"/>
            <w:shd w:val="clear" w:color="auto" w:fill="auto"/>
            <w:tcMar>
              <w:top w:w="100" w:type="dxa"/>
              <w:left w:w="100" w:type="dxa"/>
              <w:bottom w:w="100" w:type="dxa"/>
              <w:right w:w="100" w:type="dxa"/>
            </w:tcMar>
          </w:tcPr>
          <w:p w14:paraId="2AA8ADE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Flow may be a fundamental mediator in the development of IGD while playing social games. </w:t>
            </w:r>
          </w:p>
        </w:tc>
      </w:tr>
      <w:tr w:rsidR="00B862B4" w14:paraId="38064FD8" w14:textId="77777777" w:rsidTr="003055DF">
        <w:tc>
          <w:tcPr>
            <w:tcW w:w="1125" w:type="dxa"/>
            <w:tcBorders>
              <w:top w:val="nil"/>
              <w:left w:val="nil"/>
              <w:bottom w:val="nil"/>
              <w:right w:val="nil"/>
            </w:tcBorders>
            <w:tcMar>
              <w:top w:w="40" w:type="dxa"/>
              <w:left w:w="40" w:type="dxa"/>
              <w:bottom w:w="40" w:type="dxa"/>
              <w:right w:w="40" w:type="dxa"/>
            </w:tcMar>
          </w:tcPr>
          <w:p w14:paraId="7C581CF9"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Hull et al. (2013)</w:t>
            </w:r>
          </w:p>
        </w:tc>
        <w:tc>
          <w:tcPr>
            <w:tcW w:w="1215" w:type="dxa"/>
            <w:shd w:val="clear" w:color="auto" w:fill="auto"/>
            <w:tcMar>
              <w:top w:w="100" w:type="dxa"/>
              <w:left w:w="100" w:type="dxa"/>
              <w:bottom w:w="100" w:type="dxa"/>
              <w:right w:w="100" w:type="dxa"/>
            </w:tcMar>
          </w:tcPr>
          <w:p w14:paraId="5B5C70C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045F95A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110. Respondents mainly came from the United States of America (</w:t>
            </w: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65) or the United Kingdom (</w:t>
            </w: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34).</w:t>
            </w:r>
          </w:p>
        </w:tc>
        <w:tc>
          <w:tcPr>
            <w:tcW w:w="1290" w:type="dxa"/>
            <w:shd w:val="clear" w:color="auto" w:fill="auto"/>
            <w:tcMar>
              <w:top w:w="100" w:type="dxa"/>
              <w:left w:w="100" w:type="dxa"/>
              <w:bottom w:w="100" w:type="dxa"/>
              <w:right w:w="100" w:type="dxa"/>
            </w:tcMar>
          </w:tcPr>
          <w:p w14:paraId="61FDF2B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Flow</w:t>
            </w:r>
          </w:p>
        </w:tc>
        <w:tc>
          <w:tcPr>
            <w:tcW w:w="1515" w:type="dxa"/>
            <w:shd w:val="clear" w:color="auto" w:fill="auto"/>
            <w:tcMar>
              <w:top w:w="100" w:type="dxa"/>
              <w:left w:w="100" w:type="dxa"/>
              <w:bottom w:w="100" w:type="dxa"/>
              <w:right w:w="100" w:type="dxa"/>
            </w:tcMar>
          </w:tcPr>
          <w:p w14:paraId="6654A99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Social Features, Manipulation/Control, Narrative/Identity, Reward/Punishment, and Presentation Features</w:t>
            </w:r>
          </w:p>
        </w:tc>
        <w:tc>
          <w:tcPr>
            <w:tcW w:w="4590" w:type="dxa"/>
            <w:shd w:val="clear" w:color="auto" w:fill="auto"/>
            <w:tcMar>
              <w:top w:w="100" w:type="dxa"/>
              <w:left w:w="100" w:type="dxa"/>
              <w:bottom w:w="100" w:type="dxa"/>
              <w:right w:w="100" w:type="dxa"/>
            </w:tcMar>
          </w:tcPr>
          <w:p w14:paraId="58FB33F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GAS had low significant positive correlations with social, manipulation/control, and reward features of a game.  Narrative, punishment, presentation </w:t>
            </w:r>
            <w:proofErr w:type="gramStart"/>
            <w:r>
              <w:rPr>
                <w:rFonts w:ascii="Times New Roman" w:eastAsia="Times New Roman" w:hAnsi="Times New Roman" w:cs="Times New Roman"/>
                <w:sz w:val="16"/>
                <w:szCs w:val="16"/>
                <w:highlight w:val="white"/>
              </w:rPr>
              <w:t>were</w:t>
            </w:r>
            <w:proofErr w:type="gramEnd"/>
            <w:r>
              <w:rPr>
                <w:rFonts w:ascii="Times New Roman" w:eastAsia="Times New Roman" w:hAnsi="Times New Roman" w:cs="Times New Roman"/>
                <w:sz w:val="16"/>
                <w:szCs w:val="16"/>
                <w:highlight w:val="white"/>
              </w:rPr>
              <w:t xml:space="preserve"> found to have no relationship.</w:t>
            </w:r>
          </w:p>
        </w:tc>
      </w:tr>
      <w:tr w:rsidR="00B862B4" w14:paraId="73AF7DED" w14:textId="77777777" w:rsidTr="003055DF">
        <w:tc>
          <w:tcPr>
            <w:tcW w:w="1125" w:type="dxa"/>
            <w:tcBorders>
              <w:top w:val="nil"/>
              <w:left w:val="nil"/>
              <w:right w:val="nil"/>
            </w:tcBorders>
            <w:tcMar>
              <w:top w:w="40" w:type="dxa"/>
              <w:left w:w="40" w:type="dxa"/>
              <w:bottom w:w="40" w:type="dxa"/>
              <w:right w:w="40" w:type="dxa"/>
            </w:tcMar>
          </w:tcPr>
          <w:p w14:paraId="6531F0A0"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Hussain et al. (2015)</w:t>
            </w:r>
          </w:p>
        </w:tc>
        <w:tc>
          <w:tcPr>
            <w:tcW w:w="1215" w:type="dxa"/>
            <w:shd w:val="clear" w:color="auto" w:fill="auto"/>
            <w:tcMar>
              <w:top w:w="100" w:type="dxa"/>
              <w:left w:w="100" w:type="dxa"/>
              <w:bottom w:w="100" w:type="dxa"/>
              <w:right w:w="100" w:type="dxa"/>
            </w:tcMar>
          </w:tcPr>
          <w:p w14:paraId="47E91E3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5537FF2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w:t>
            </w:r>
            <w:r>
              <w:rPr>
                <w:rFonts w:ascii="Times New Roman" w:eastAsia="Times New Roman" w:hAnsi="Times New Roman" w:cs="Times New Roman"/>
                <w:sz w:val="16"/>
                <w:szCs w:val="16"/>
                <w:highlight w:val="white"/>
              </w:rPr>
              <w:t>1167. Most of the gamers were living in the United States (47.4%).</w:t>
            </w:r>
          </w:p>
        </w:tc>
        <w:tc>
          <w:tcPr>
            <w:tcW w:w="1290" w:type="dxa"/>
            <w:shd w:val="clear" w:color="auto" w:fill="auto"/>
            <w:tcMar>
              <w:top w:w="100" w:type="dxa"/>
              <w:left w:w="100" w:type="dxa"/>
              <w:bottom w:w="100" w:type="dxa"/>
              <w:right w:w="100" w:type="dxa"/>
            </w:tcMar>
          </w:tcPr>
          <w:p w14:paraId="6043CA8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w:t>
            </w:r>
          </w:p>
        </w:tc>
        <w:tc>
          <w:tcPr>
            <w:tcW w:w="1515" w:type="dxa"/>
            <w:shd w:val="clear" w:color="auto" w:fill="auto"/>
            <w:tcMar>
              <w:top w:w="100" w:type="dxa"/>
              <w:left w:w="100" w:type="dxa"/>
              <w:bottom w:w="100" w:type="dxa"/>
              <w:right w:w="100" w:type="dxa"/>
            </w:tcMar>
          </w:tcPr>
          <w:p w14:paraId="23BDEE6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Chat Feature, Guilds / Clans / Teams, Virtual World</w:t>
            </w:r>
          </w:p>
        </w:tc>
        <w:tc>
          <w:tcPr>
            <w:tcW w:w="4590" w:type="dxa"/>
            <w:shd w:val="clear" w:color="auto" w:fill="auto"/>
            <w:tcMar>
              <w:top w:w="100" w:type="dxa"/>
              <w:left w:w="100" w:type="dxa"/>
              <w:bottom w:w="100" w:type="dxa"/>
              <w:right w:w="100" w:type="dxa"/>
            </w:tcMar>
          </w:tcPr>
          <w:p w14:paraId="486F5F8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Players who were attracted to the highly social and competitive aspects of the gaming environment were most likely to be in the high risk of addiction class. Seeking novelty in the MMORPG could also lead to addiction, as could wanting to vent aggressive, anti-social, and non-curious elements of </w:t>
            </w:r>
            <w:proofErr w:type="gramStart"/>
            <w:r>
              <w:rPr>
                <w:rFonts w:ascii="Times New Roman" w:eastAsia="Times New Roman" w:hAnsi="Times New Roman" w:cs="Times New Roman"/>
                <w:sz w:val="16"/>
                <w:szCs w:val="16"/>
                <w:highlight w:val="white"/>
              </w:rPr>
              <w:t>one’s self</w:t>
            </w:r>
            <w:proofErr w:type="gramEnd"/>
            <w:r>
              <w:rPr>
                <w:rFonts w:ascii="Times New Roman" w:eastAsia="Times New Roman" w:hAnsi="Times New Roman" w:cs="Times New Roman"/>
                <w:sz w:val="16"/>
                <w:szCs w:val="16"/>
                <w:highlight w:val="white"/>
              </w:rPr>
              <w:t>. The social and cooperative elements of MMORPGs are the main reasons people like playing.</w:t>
            </w:r>
          </w:p>
        </w:tc>
      </w:tr>
      <w:tr w:rsidR="00B862B4" w14:paraId="6A46CE36" w14:textId="77777777" w:rsidTr="003055DF">
        <w:tc>
          <w:tcPr>
            <w:tcW w:w="1125" w:type="dxa"/>
            <w:tcBorders>
              <w:top w:val="nil"/>
            </w:tcBorders>
            <w:tcMar>
              <w:top w:w="40" w:type="dxa"/>
              <w:left w:w="40" w:type="dxa"/>
              <w:bottom w:w="40" w:type="dxa"/>
              <w:right w:w="40" w:type="dxa"/>
            </w:tcMar>
          </w:tcPr>
          <w:p w14:paraId="2E7ED16E" w14:textId="77777777" w:rsidR="00B862B4" w:rsidRDefault="00B862B4" w:rsidP="003055DF">
            <w:pPr>
              <w:widowControl w:val="0"/>
              <w:rPr>
                <w:sz w:val="20"/>
                <w:szCs w:val="20"/>
              </w:rPr>
            </w:pPr>
            <w:r>
              <w:rPr>
                <w:rFonts w:ascii="Times New Roman" w:eastAsia="Times New Roman" w:hAnsi="Times New Roman" w:cs="Times New Roman"/>
                <w:sz w:val="16"/>
                <w:szCs w:val="16"/>
              </w:rPr>
              <w:t>Ide et al. (2021)</w:t>
            </w:r>
          </w:p>
        </w:tc>
        <w:tc>
          <w:tcPr>
            <w:tcW w:w="1215" w:type="dxa"/>
            <w:shd w:val="clear" w:color="auto" w:fill="auto"/>
            <w:tcMar>
              <w:top w:w="100" w:type="dxa"/>
              <w:left w:w="100" w:type="dxa"/>
              <w:bottom w:w="100" w:type="dxa"/>
              <w:right w:w="100" w:type="dxa"/>
            </w:tcMar>
          </w:tcPr>
          <w:p w14:paraId="523524D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5BD2B7E0"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1615 adolescents (aged 14 years) born between September 2002 and August 2004, along with their primary caregivers; 1392 men, 1227 women.</w:t>
            </w:r>
          </w:p>
        </w:tc>
        <w:tc>
          <w:tcPr>
            <w:tcW w:w="1290" w:type="dxa"/>
            <w:shd w:val="clear" w:color="auto" w:fill="auto"/>
            <w:tcMar>
              <w:top w:w="100" w:type="dxa"/>
              <w:left w:w="100" w:type="dxa"/>
              <w:bottom w:w="100" w:type="dxa"/>
              <w:right w:w="100" w:type="dxa"/>
            </w:tcMar>
          </w:tcPr>
          <w:p w14:paraId="3DE4E49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11216080"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Loot boxes</w:t>
            </w:r>
          </w:p>
        </w:tc>
        <w:tc>
          <w:tcPr>
            <w:tcW w:w="4590" w:type="dxa"/>
            <w:shd w:val="clear" w:color="auto" w:fill="auto"/>
            <w:tcMar>
              <w:top w:w="100" w:type="dxa"/>
              <w:left w:w="100" w:type="dxa"/>
              <w:bottom w:w="100" w:type="dxa"/>
              <w:right w:w="100" w:type="dxa"/>
            </w:tcMar>
          </w:tcPr>
          <w:p w14:paraId="487FCF7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Video game loot boxes were associated with problem online gaming.   This association was only found in adolescent gamers, and not their parents.</w:t>
            </w:r>
          </w:p>
        </w:tc>
      </w:tr>
      <w:tr w:rsidR="00B862B4" w14:paraId="2C969677" w14:textId="77777777" w:rsidTr="003055DF">
        <w:tc>
          <w:tcPr>
            <w:tcW w:w="1125" w:type="dxa"/>
            <w:tcBorders>
              <w:left w:val="nil"/>
              <w:bottom w:val="nil"/>
              <w:right w:val="nil"/>
            </w:tcBorders>
            <w:tcMar>
              <w:top w:w="40" w:type="dxa"/>
              <w:left w:w="40" w:type="dxa"/>
              <w:bottom w:w="40" w:type="dxa"/>
              <w:right w:w="40" w:type="dxa"/>
            </w:tcMar>
          </w:tcPr>
          <w:p w14:paraId="3961E07C"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Irmak &amp; </w:t>
            </w:r>
            <w:proofErr w:type="spellStart"/>
            <w:r>
              <w:rPr>
                <w:rFonts w:ascii="Times New Roman" w:eastAsia="Times New Roman" w:hAnsi="Times New Roman" w:cs="Times New Roman"/>
                <w:sz w:val="16"/>
                <w:szCs w:val="16"/>
              </w:rPr>
              <w:t>Erdoğan</w:t>
            </w:r>
            <w:proofErr w:type="spellEnd"/>
            <w:r>
              <w:rPr>
                <w:rFonts w:ascii="Times New Roman" w:eastAsia="Times New Roman" w:hAnsi="Times New Roman" w:cs="Times New Roman"/>
                <w:sz w:val="16"/>
                <w:szCs w:val="16"/>
              </w:rPr>
              <w:t xml:space="preserve"> (2019)</w:t>
            </w:r>
          </w:p>
        </w:tc>
        <w:tc>
          <w:tcPr>
            <w:tcW w:w="1215" w:type="dxa"/>
            <w:shd w:val="clear" w:color="auto" w:fill="auto"/>
            <w:tcMar>
              <w:top w:w="100" w:type="dxa"/>
              <w:left w:w="100" w:type="dxa"/>
              <w:bottom w:w="100" w:type="dxa"/>
              <w:right w:w="100" w:type="dxa"/>
            </w:tcMar>
          </w:tcPr>
          <w:p w14:paraId="7AEDB9F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0D04B03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865 students, 402 female and 463 </w:t>
            </w:r>
            <w:proofErr w:type="gramStart"/>
            <w:r>
              <w:rPr>
                <w:rFonts w:ascii="Times New Roman" w:eastAsia="Times New Roman" w:hAnsi="Times New Roman" w:cs="Times New Roman"/>
                <w:sz w:val="16"/>
                <w:szCs w:val="16"/>
                <w:highlight w:val="white"/>
              </w:rPr>
              <w:t>male</w:t>
            </w:r>
            <w:proofErr w:type="gramEnd"/>
            <w:r>
              <w:rPr>
                <w:rFonts w:ascii="Times New Roman" w:eastAsia="Times New Roman" w:hAnsi="Times New Roman" w:cs="Times New Roman"/>
                <w:sz w:val="16"/>
                <w:szCs w:val="16"/>
                <w:highlight w:val="white"/>
              </w:rPr>
              <w:t xml:space="preserve"> were recruited from Grades 9, 10, and 11.</w:t>
            </w:r>
          </w:p>
        </w:tc>
        <w:tc>
          <w:tcPr>
            <w:tcW w:w="1290" w:type="dxa"/>
            <w:shd w:val="clear" w:color="auto" w:fill="auto"/>
            <w:tcMar>
              <w:top w:w="100" w:type="dxa"/>
              <w:left w:w="100" w:type="dxa"/>
              <w:bottom w:w="100" w:type="dxa"/>
              <w:right w:w="100" w:type="dxa"/>
            </w:tcMar>
          </w:tcPr>
          <w:p w14:paraId="07E92CB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Gaming Disorder </w:t>
            </w:r>
          </w:p>
        </w:tc>
        <w:tc>
          <w:tcPr>
            <w:tcW w:w="1515" w:type="dxa"/>
            <w:shd w:val="clear" w:color="auto" w:fill="auto"/>
            <w:tcMar>
              <w:top w:w="100" w:type="dxa"/>
              <w:left w:w="100" w:type="dxa"/>
              <w:bottom w:w="100" w:type="dxa"/>
              <w:right w:w="100" w:type="dxa"/>
            </w:tcMar>
          </w:tcPr>
          <w:p w14:paraId="1764155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Violence</w:t>
            </w:r>
          </w:p>
        </w:tc>
        <w:tc>
          <w:tcPr>
            <w:tcW w:w="4590" w:type="dxa"/>
            <w:shd w:val="clear" w:color="auto" w:fill="auto"/>
            <w:tcMar>
              <w:top w:w="100" w:type="dxa"/>
              <w:left w:w="100" w:type="dxa"/>
              <w:bottom w:w="100" w:type="dxa"/>
              <w:right w:w="100" w:type="dxa"/>
            </w:tcMar>
          </w:tcPr>
          <w:p w14:paraId="75933CF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Levels of in-game violence, computer self-efficacy, psychosocial problems, and </w:t>
            </w:r>
            <w:proofErr w:type="spellStart"/>
            <w:r>
              <w:rPr>
                <w:rFonts w:ascii="Times New Roman" w:eastAsia="Times New Roman" w:hAnsi="Times New Roman" w:cs="Times New Roman"/>
                <w:sz w:val="16"/>
                <w:szCs w:val="16"/>
              </w:rPr>
              <w:t>dimin</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ished</w:t>
            </w:r>
            <w:proofErr w:type="spellEnd"/>
            <w:r>
              <w:rPr>
                <w:rFonts w:ascii="Times New Roman" w:eastAsia="Times New Roman" w:hAnsi="Times New Roman" w:cs="Times New Roman"/>
                <w:sz w:val="16"/>
                <w:szCs w:val="16"/>
              </w:rPr>
              <w:t xml:space="preserve"> impulse control directly affected the gaming behaviors of male adolescents.</w:t>
            </w:r>
          </w:p>
        </w:tc>
      </w:tr>
      <w:tr w:rsidR="00B862B4" w14:paraId="6702E524" w14:textId="77777777" w:rsidTr="003055DF">
        <w:tc>
          <w:tcPr>
            <w:tcW w:w="1125" w:type="dxa"/>
            <w:tcBorders>
              <w:top w:val="nil"/>
              <w:left w:val="nil"/>
              <w:right w:val="nil"/>
            </w:tcBorders>
            <w:tcMar>
              <w:top w:w="40" w:type="dxa"/>
              <w:left w:w="40" w:type="dxa"/>
              <w:bottom w:w="40" w:type="dxa"/>
              <w:right w:w="40" w:type="dxa"/>
            </w:tcMar>
          </w:tcPr>
          <w:p w14:paraId="281718B1"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Karlsen (2010)</w:t>
            </w:r>
          </w:p>
        </w:tc>
        <w:tc>
          <w:tcPr>
            <w:tcW w:w="1215" w:type="dxa"/>
            <w:shd w:val="clear" w:color="auto" w:fill="auto"/>
            <w:tcMar>
              <w:top w:w="100" w:type="dxa"/>
              <w:left w:w="100" w:type="dxa"/>
              <w:bottom w:w="100" w:type="dxa"/>
              <w:right w:w="100" w:type="dxa"/>
            </w:tcMar>
          </w:tcPr>
          <w:p w14:paraId="191B006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 research</w:t>
            </w:r>
          </w:p>
        </w:tc>
        <w:tc>
          <w:tcPr>
            <w:tcW w:w="2955" w:type="dxa"/>
            <w:shd w:val="clear" w:color="auto" w:fill="auto"/>
            <w:tcMar>
              <w:top w:w="100" w:type="dxa"/>
              <w:left w:w="100" w:type="dxa"/>
              <w:bottom w:w="100" w:type="dxa"/>
              <w:right w:w="100" w:type="dxa"/>
            </w:tcMar>
          </w:tcPr>
          <w:p w14:paraId="3BEAB7B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12 heavy users of World of Warcraft (WoW) were recruited from different urban areas in the eastern part of Norway. </w:t>
            </w:r>
          </w:p>
        </w:tc>
        <w:tc>
          <w:tcPr>
            <w:tcW w:w="1290" w:type="dxa"/>
            <w:shd w:val="clear" w:color="auto" w:fill="auto"/>
            <w:tcMar>
              <w:top w:w="100" w:type="dxa"/>
              <w:left w:w="100" w:type="dxa"/>
              <w:bottom w:w="100" w:type="dxa"/>
              <w:right w:w="100" w:type="dxa"/>
            </w:tcMar>
          </w:tcPr>
          <w:p w14:paraId="3697F5C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7EBD840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General socialization features, general reward type features, near miss features</w:t>
            </w:r>
          </w:p>
        </w:tc>
        <w:tc>
          <w:tcPr>
            <w:tcW w:w="4590" w:type="dxa"/>
            <w:shd w:val="clear" w:color="auto" w:fill="auto"/>
            <w:tcMar>
              <w:top w:w="100" w:type="dxa"/>
              <w:left w:w="100" w:type="dxa"/>
              <w:bottom w:w="100" w:type="dxa"/>
              <w:right w:w="100" w:type="dxa"/>
            </w:tcMar>
          </w:tcPr>
          <w:p w14:paraId="477ED01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Excessive playing of online games is linked to </w:t>
            </w:r>
            <w:proofErr w:type="gramStart"/>
            <w:r>
              <w:rPr>
                <w:rFonts w:ascii="Times New Roman" w:eastAsia="Times New Roman" w:hAnsi="Times New Roman" w:cs="Times New Roman"/>
                <w:sz w:val="16"/>
                <w:szCs w:val="16"/>
              </w:rPr>
              <w:t>socially-based</w:t>
            </w:r>
            <w:proofErr w:type="gramEnd"/>
            <w:r>
              <w:rPr>
                <w:rFonts w:ascii="Times New Roman" w:eastAsia="Times New Roman" w:hAnsi="Times New Roman" w:cs="Times New Roman"/>
                <w:sz w:val="16"/>
                <w:szCs w:val="16"/>
              </w:rPr>
              <w:t xml:space="preserve"> motivation factors. Psycho-structural elements known from gambling, like entrapment and near miss, are observable in WoW but their impact seems comparatively weaker. The entrapment phenomenon is linked to rewards. In both the entrapment and near miss analyses, randomness has a much less prominent place in WoW than in gambling games, even when the reward structure is based on randomness.</w:t>
            </w:r>
          </w:p>
        </w:tc>
      </w:tr>
      <w:tr w:rsidR="00B862B4" w14:paraId="4A3002F8" w14:textId="77777777" w:rsidTr="003055DF">
        <w:tc>
          <w:tcPr>
            <w:tcW w:w="1125" w:type="dxa"/>
            <w:tcBorders>
              <w:top w:val="nil"/>
            </w:tcBorders>
            <w:tcMar>
              <w:top w:w="40" w:type="dxa"/>
              <w:left w:w="40" w:type="dxa"/>
              <w:bottom w:w="40" w:type="dxa"/>
              <w:right w:w="40" w:type="dxa"/>
            </w:tcMar>
          </w:tcPr>
          <w:p w14:paraId="751D7289" w14:textId="77777777" w:rsidR="00B862B4" w:rsidRDefault="00B862B4" w:rsidP="003055DF">
            <w:pPr>
              <w:widowControl w:val="0"/>
              <w:rPr>
                <w:sz w:val="20"/>
                <w:szCs w:val="20"/>
              </w:rPr>
            </w:pPr>
            <w:r>
              <w:rPr>
                <w:rFonts w:ascii="Times New Roman" w:eastAsia="Times New Roman" w:hAnsi="Times New Roman" w:cs="Times New Roman"/>
                <w:sz w:val="16"/>
                <w:szCs w:val="16"/>
              </w:rPr>
              <w:t>Kim et al. (2021)</w:t>
            </w:r>
          </w:p>
        </w:tc>
        <w:tc>
          <w:tcPr>
            <w:tcW w:w="1215" w:type="dxa"/>
            <w:shd w:val="clear" w:color="auto" w:fill="auto"/>
            <w:tcMar>
              <w:top w:w="100" w:type="dxa"/>
              <w:left w:w="100" w:type="dxa"/>
              <w:bottom w:w="100" w:type="dxa"/>
              <w:right w:w="100" w:type="dxa"/>
            </w:tcMar>
          </w:tcPr>
          <w:p w14:paraId="05BFF78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308765A3"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 xml:space="preserve">In 2018, </w:t>
            </w:r>
            <w:r>
              <w:rPr>
                <w:rFonts w:ascii="Times New Roman" w:eastAsia="Times New Roman" w:hAnsi="Times New Roman" w:cs="Times New Roman"/>
                <w:i/>
                <w:sz w:val="17"/>
                <w:szCs w:val="17"/>
                <w:highlight w:val="white"/>
              </w:rPr>
              <w:t>N</w:t>
            </w:r>
            <w:r>
              <w:rPr>
                <w:rFonts w:ascii="Times New Roman" w:eastAsia="Times New Roman" w:hAnsi="Times New Roman" w:cs="Times New Roman"/>
                <w:sz w:val="17"/>
                <w:szCs w:val="17"/>
                <w:highlight w:val="white"/>
              </w:rPr>
              <w:t xml:space="preserve"> = 3317 and in 2020, </w:t>
            </w:r>
            <w:proofErr w:type="gramStart"/>
            <w:r>
              <w:rPr>
                <w:rFonts w:ascii="Times New Roman" w:eastAsia="Times New Roman" w:hAnsi="Times New Roman" w:cs="Times New Roman"/>
                <w:i/>
                <w:sz w:val="17"/>
                <w:szCs w:val="17"/>
                <w:highlight w:val="white"/>
              </w:rPr>
              <w:t xml:space="preserve">N </w:t>
            </w:r>
            <w:r>
              <w:rPr>
                <w:rFonts w:ascii="Times New Roman" w:eastAsia="Times New Roman" w:hAnsi="Times New Roman" w:cs="Times New Roman"/>
                <w:sz w:val="17"/>
                <w:szCs w:val="17"/>
                <w:highlight w:val="white"/>
              </w:rPr>
              <w:t xml:space="preserve"> =</w:t>
            </w:r>
            <w:proofErr w:type="gramEnd"/>
            <w:r>
              <w:rPr>
                <w:rFonts w:ascii="Times New Roman" w:eastAsia="Times New Roman" w:hAnsi="Times New Roman" w:cs="Times New Roman"/>
                <w:sz w:val="17"/>
                <w:szCs w:val="17"/>
                <w:highlight w:val="white"/>
              </w:rPr>
              <w:t xml:space="preserve"> 3149. Elementary students from grades four to six and middle school students from all seven provinces of South </w:t>
            </w:r>
            <w:r>
              <w:rPr>
                <w:rFonts w:ascii="Times New Roman" w:eastAsia="Times New Roman" w:hAnsi="Times New Roman" w:cs="Times New Roman"/>
                <w:sz w:val="17"/>
                <w:szCs w:val="17"/>
                <w:highlight w:val="white"/>
              </w:rPr>
              <w:lastRenderedPageBreak/>
              <w:t xml:space="preserve">Korea were recruited for the survey. </w:t>
            </w:r>
          </w:p>
        </w:tc>
        <w:tc>
          <w:tcPr>
            <w:tcW w:w="1290" w:type="dxa"/>
            <w:shd w:val="clear" w:color="auto" w:fill="auto"/>
            <w:tcMar>
              <w:top w:w="100" w:type="dxa"/>
              <w:left w:w="100" w:type="dxa"/>
              <w:bottom w:w="100" w:type="dxa"/>
              <w:right w:w="100" w:type="dxa"/>
            </w:tcMar>
          </w:tcPr>
          <w:p w14:paraId="5552DA2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Gaming Disorder, Time Spent Gaming</w:t>
            </w:r>
          </w:p>
        </w:tc>
        <w:tc>
          <w:tcPr>
            <w:tcW w:w="1515" w:type="dxa"/>
            <w:shd w:val="clear" w:color="auto" w:fill="auto"/>
            <w:tcMar>
              <w:top w:w="100" w:type="dxa"/>
              <w:left w:w="100" w:type="dxa"/>
              <w:bottom w:w="100" w:type="dxa"/>
              <w:right w:w="100" w:type="dxa"/>
            </w:tcMar>
          </w:tcPr>
          <w:p w14:paraId="6688165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Platform</w:t>
            </w:r>
          </w:p>
        </w:tc>
        <w:tc>
          <w:tcPr>
            <w:tcW w:w="4590" w:type="dxa"/>
            <w:shd w:val="clear" w:color="auto" w:fill="auto"/>
            <w:tcMar>
              <w:top w:w="100" w:type="dxa"/>
              <w:left w:w="100" w:type="dxa"/>
              <w:bottom w:w="100" w:type="dxa"/>
              <w:right w:w="100" w:type="dxa"/>
            </w:tcMar>
          </w:tcPr>
          <w:p w14:paraId="0DCE9B7F"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 xml:space="preserve">The current study produced four profiles: ‘casual’ gamer, ‘moderate’ gamer, ‘potential-risk’ gamer, and ‘addictive’ gamer. The ‘addictive’ gamer profile showed the longest play time on both a PC (173 min) and mobile phones (183 min). </w:t>
            </w:r>
          </w:p>
        </w:tc>
      </w:tr>
      <w:tr w:rsidR="00B862B4" w14:paraId="4E689921" w14:textId="77777777" w:rsidTr="003055DF">
        <w:tc>
          <w:tcPr>
            <w:tcW w:w="1125" w:type="dxa"/>
            <w:tcBorders>
              <w:left w:val="nil"/>
              <w:bottom w:val="nil"/>
              <w:right w:val="nil"/>
            </w:tcBorders>
            <w:tcMar>
              <w:top w:w="40" w:type="dxa"/>
              <w:left w:w="40" w:type="dxa"/>
              <w:bottom w:w="40" w:type="dxa"/>
              <w:right w:w="40" w:type="dxa"/>
            </w:tcMar>
          </w:tcPr>
          <w:p w14:paraId="2EEEC7E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King et al. (2010)</w:t>
            </w:r>
          </w:p>
        </w:tc>
        <w:tc>
          <w:tcPr>
            <w:tcW w:w="1215" w:type="dxa"/>
            <w:shd w:val="clear" w:color="auto" w:fill="auto"/>
            <w:tcMar>
              <w:top w:w="100" w:type="dxa"/>
              <w:left w:w="100" w:type="dxa"/>
              <w:bottom w:w="100" w:type="dxa"/>
              <w:right w:w="100" w:type="dxa"/>
            </w:tcMar>
          </w:tcPr>
          <w:p w14:paraId="19779A4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1C6723F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421 video game players were recruited; the sample was predominated by males (87.2%).</w:t>
            </w:r>
          </w:p>
        </w:tc>
        <w:tc>
          <w:tcPr>
            <w:tcW w:w="1290" w:type="dxa"/>
            <w:shd w:val="clear" w:color="auto" w:fill="auto"/>
            <w:tcMar>
              <w:top w:w="100" w:type="dxa"/>
              <w:left w:w="100" w:type="dxa"/>
              <w:bottom w:w="100" w:type="dxa"/>
              <w:right w:w="100" w:type="dxa"/>
            </w:tcMar>
          </w:tcPr>
          <w:p w14:paraId="3BDC543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Enjoyment, Time Spent Gaming</w:t>
            </w:r>
          </w:p>
        </w:tc>
        <w:tc>
          <w:tcPr>
            <w:tcW w:w="1515" w:type="dxa"/>
            <w:shd w:val="clear" w:color="auto" w:fill="auto"/>
            <w:tcMar>
              <w:top w:w="100" w:type="dxa"/>
              <w:left w:w="100" w:type="dxa"/>
              <w:bottom w:w="100" w:type="dxa"/>
              <w:right w:w="100" w:type="dxa"/>
            </w:tcMar>
          </w:tcPr>
          <w:p w14:paraId="0E986BE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General socialization features, User input device, Storytelling device feature, Experience Points/Leveling up, Event frequency features, Meta-Game Rewards, Graphics, Sound</w:t>
            </w:r>
          </w:p>
        </w:tc>
        <w:tc>
          <w:tcPr>
            <w:tcW w:w="4590" w:type="dxa"/>
            <w:shd w:val="clear" w:color="auto" w:fill="auto"/>
            <w:tcMar>
              <w:top w:w="100" w:type="dxa"/>
              <w:left w:w="100" w:type="dxa"/>
              <w:bottom w:w="100" w:type="dxa"/>
              <w:right w:w="100" w:type="dxa"/>
            </w:tcMar>
          </w:tcPr>
          <w:p w14:paraId="087011D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The reward and punishment features, such as earning points, finding rare game items, and fast loading times, were rated among the most enjoyable and important aspects of video game playing.</w:t>
            </w:r>
          </w:p>
        </w:tc>
      </w:tr>
      <w:tr w:rsidR="00B862B4" w14:paraId="1F7D2E6F" w14:textId="77777777" w:rsidTr="003055DF">
        <w:tc>
          <w:tcPr>
            <w:tcW w:w="1125" w:type="dxa"/>
            <w:tcBorders>
              <w:top w:val="nil"/>
              <w:left w:val="nil"/>
              <w:bottom w:val="nil"/>
              <w:right w:val="nil"/>
            </w:tcBorders>
            <w:tcMar>
              <w:top w:w="40" w:type="dxa"/>
              <w:left w:w="40" w:type="dxa"/>
              <w:bottom w:w="40" w:type="dxa"/>
              <w:right w:w="40" w:type="dxa"/>
            </w:tcMar>
          </w:tcPr>
          <w:p w14:paraId="1DC759C9"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King et al. (2017)</w:t>
            </w:r>
          </w:p>
        </w:tc>
        <w:tc>
          <w:tcPr>
            <w:tcW w:w="1215" w:type="dxa"/>
            <w:shd w:val="clear" w:color="auto" w:fill="auto"/>
            <w:tcMar>
              <w:top w:w="100" w:type="dxa"/>
              <w:left w:w="100" w:type="dxa"/>
              <w:bottom w:w="100" w:type="dxa"/>
              <w:right w:w="100" w:type="dxa"/>
            </w:tcMar>
          </w:tcPr>
          <w:p w14:paraId="03CC42D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4E2D359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630 (480 males) aged 18–56 (</w:t>
            </w:r>
            <w:r>
              <w:rPr>
                <w:rFonts w:ascii="Times New Roman" w:eastAsia="Times New Roman" w:hAnsi="Times New Roman" w:cs="Times New Roman"/>
                <w:i/>
                <w:sz w:val="16"/>
                <w:szCs w:val="16"/>
                <w:highlight w:val="white"/>
              </w:rPr>
              <w:t>M</w:t>
            </w:r>
            <w:r>
              <w:rPr>
                <w:rFonts w:ascii="Times New Roman" w:eastAsia="Times New Roman" w:hAnsi="Times New Roman" w:cs="Times New Roman"/>
                <w:sz w:val="16"/>
                <w:szCs w:val="16"/>
                <w:highlight w:val="white"/>
              </w:rPr>
              <w:t xml:space="preserve"> = 25.8, </w:t>
            </w:r>
            <w:r>
              <w:rPr>
                <w:rFonts w:ascii="Times New Roman" w:eastAsia="Times New Roman" w:hAnsi="Times New Roman" w:cs="Times New Roman"/>
                <w:i/>
                <w:sz w:val="16"/>
                <w:szCs w:val="16"/>
                <w:highlight w:val="white"/>
              </w:rPr>
              <w:t>SD</w:t>
            </w:r>
            <w:r>
              <w:rPr>
                <w:rFonts w:ascii="Times New Roman" w:eastAsia="Times New Roman" w:hAnsi="Times New Roman" w:cs="Times New Roman"/>
                <w:sz w:val="16"/>
                <w:szCs w:val="16"/>
                <w:highlight w:val="white"/>
              </w:rPr>
              <w:t xml:space="preserve"> = 7.1).</w:t>
            </w:r>
          </w:p>
        </w:tc>
        <w:tc>
          <w:tcPr>
            <w:tcW w:w="1290" w:type="dxa"/>
            <w:shd w:val="clear" w:color="auto" w:fill="auto"/>
            <w:tcMar>
              <w:top w:w="100" w:type="dxa"/>
              <w:left w:w="100" w:type="dxa"/>
              <w:bottom w:w="100" w:type="dxa"/>
              <w:right w:w="100" w:type="dxa"/>
            </w:tcMar>
          </w:tcPr>
          <w:p w14:paraId="376E4CA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1D80931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General socialization features, storytelling device feature</w:t>
            </w:r>
          </w:p>
        </w:tc>
        <w:tc>
          <w:tcPr>
            <w:tcW w:w="4590" w:type="dxa"/>
            <w:shd w:val="clear" w:color="auto" w:fill="auto"/>
            <w:tcMar>
              <w:top w:w="100" w:type="dxa"/>
              <w:left w:w="100" w:type="dxa"/>
              <w:bottom w:w="100" w:type="dxa"/>
              <w:right w:w="100" w:type="dxa"/>
            </w:tcMar>
          </w:tcPr>
          <w:p w14:paraId="6897B81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Players tended to have complex goal motivations, including the pursuit of various rewards, such as items, status, exploration, and story outcomes. Participants developed more refined and/or specific reward preferences as they became more committed to a game. </w:t>
            </w:r>
          </w:p>
        </w:tc>
      </w:tr>
      <w:tr w:rsidR="00B862B4" w14:paraId="199E2916" w14:textId="77777777" w:rsidTr="003055DF">
        <w:tc>
          <w:tcPr>
            <w:tcW w:w="1125" w:type="dxa"/>
            <w:tcBorders>
              <w:top w:val="nil"/>
              <w:left w:val="nil"/>
              <w:right w:val="nil"/>
            </w:tcBorders>
            <w:tcMar>
              <w:top w:w="40" w:type="dxa"/>
              <w:left w:w="40" w:type="dxa"/>
              <w:bottom w:w="40" w:type="dxa"/>
              <w:right w:w="40" w:type="dxa"/>
            </w:tcMar>
          </w:tcPr>
          <w:p w14:paraId="206B0C07"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King et al. (2018)</w:t>
            </w:r>
          </w:p>
        </w:tc>
        <w:tc>
          <w:tcPr>
            <w:tcW w:w="1215" w:type="dxa"/>
            <w:shd w:val="clear" w:color="auto" w:fill="auto"/>
            <w:tcMar>
              <w:top w:w="100" w:type="dxa"/>
              <w:left w:w="100" w:type="dxa"/>
              <w:bottom w:w="100" w:type="dxa"/>
              <w:right w:w="100" w:type="dxa"/>
            </w:tcMar>
          </w:tcPr>
          <w:p w14:paraId="45B928C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B5D678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630 (480 males) aged 18-56 years (</w:t>
            </w:r>
            <w:r>
              <w:rPr>
                <w:rFonts w:ascii="Times New Roman" w:eastAsia="Times New Roman" w:hAnsi="Times New Roman" w:cs="Times New Roman"/>
                <w:i/>
                <w:sz w:val="16"/>
                <w:szCs w:val="16"/>
                <w:highlight w:val="white"/>
              </w:rPr>
              <w:t>M</w:t>
            </w:r>
            <w:r>
              <w:rPr>
                <w:rFonts w:ascii="Times New Roman" w:eastAsia="Times New Roman" w:hAnsi="Times New Roman" w:cs="Times New Roman"/>
                <w:sz w:val="16"/>
                <w:szCs w:val="16"/>
                <w:highlight w:val="white"/>
              </w:rPr>
              <w:t xml:space="preserve">=25.8, </w:t>
            </w:r>
            <w:r>
              <w:rPr>
                <w:rFonts w:ascii="Times New Roman" w:eastAsia="Times New Roman" w:hAnsi="Times New Roman" w:cs="Times New Roman"/>
                <w:i/>
                <w:sz w:val="16"/>
                <w:szCs w:val="16"/>
                <w:highlight w:val="white"/>
              </w:rPr>
              <w:t>SD</w:t>
            </w:r>
            <w:r>
              <w:rPr>
                <w:rFonts w:ascii="Times New Roman" w:eastAsia="Times New Roman" w:hAnsi="Times New Roman" w:cs="Times New Roman"/>
                <w:sz w:val="16"/>
                <w:szCs w:val="16"/>
                <w:highlight w:val="white"/>
              </w:rPr>
              <w:t>=7.1).</w:t>
            </w:r>
          </w:p>
        </w:tc>
        <w:tc>
          <w:tcPr>
            <w:tcW w:w="1290" w:type="dxa"/>
            <w:shd w:val="clear" w:color="auto" w:fill="auto"/>
            <w:tcMar>
              <w:top w:w="100" w:type="dxa"/>
              <w:left w:w="100" w:type="dxa"/>
              <w:bottom w:w="100" w:type="dxa"/>
              <w:right w:w="100" w:type="dxa"/>
            </w:tcMar>
          </w:tcPr>
          <w:p w14:paraId="79588F3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w:t>
            </w:r>
          </w:p>
        </w:tc>
        <w:tc>
          <w:tcPr>
            <w:tcW w:w="1515" w:type="dxa"/>
            <w:shd w:val="clear" w:color="auto" w:fill="auto"/>
            <w:tcMar>
              <w:top w:w="100" w:type="dxa"/>
              <w:left w:w="100" w:type="dxa"/>
              <w:bottom w:w="100" w:type="dxa"/>
              <w:right w:w="100" w:type="dxa"/>
            </w:tcMar>
          </w:tcPr>
          <w:p w14:paraId="557AF23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General reward type features</w:t>
            </w:r>
          </w:p>
        </w:tc>
        <w:tc>
          <w:tcPr>
            <w:tcW w:w="4590" w:type="dxa"/>
            <w:shd w:val="clear" w:color="auto" w:fill="auto"/>
            <w:tcMar>
              <w:top w:w="100" w:type="dxa"/>
              <w:left w:w="100" w:type="dxa"/>
              <w:bottom w:w="100" w:type="dxa"/>
              <w:right w:w="100" w:type="dxa"/>
            </w:tcMar>
          </w:tcPr>
          <w:p w14:paraId="68AC1674"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The authors identified a three-factor model of gaming tolerance that was significantly positively associated with symptoms of problematic gaming. The factors were classified as: (1) Wealth, (2) Achievement, and (3) Inadequacy.</w:t>
            </w:r>
          </w:p>
          <w:p w14:paraId="2CE6497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Inadequacy was the most significant predictor of IGD symptomatology</w:t>
            </w:r>
          </w:p>
        </w:tc>
      </w:tr>
      <w:tr w:rsidR="00B862B4" w14:paraId="2C21D36F" w14:textId="77777777" w:rsidTr="003055DF">
        <w:tc>
          <w:tcPr>
            <w:tcW w:w="1125" w:type="dxa"/>
            <w:tcBorders>
              <w:top w:val="nil"/>
            </w:tcBorders>
            <w:tcMar>
              <w:top w:w="40" w:type="dxa"/>
              <w:left w:w="40" w:type="dxa"/>
              <w:bottom w:w="40" w:type="dxa"/>
              <w:right w:w="40" w:type="dxa"/>
            </w:tcMar>
          </w:tcPr>
          <w:p w14:paraId="639B0150" w14:textId="77777777" w:rsidR="00B862B4" w:rsidRDefault="00B862B4" w:rsidP="003055DF">
            <w:pPr>
              <w:widowControl w:val="0"/>
              <w:rPr>
                <w:sz w:val="20"/>
                <w:szCs w:val="20"/>
              </w:rPr>
            </w:pPr>
            <w:r>
              <w:rPr>
                <w:rFonts w:ascii="Times New Roman" w:eastAsia="Times New Roman" w:hAnsi="Times New Roman" w:cs="Times New Roman"/>
                <w:sz w:val="16"/>
                <w:szCs w:val="16"/>
              </w:rPr>
              <w:t xml:space="preserve">King et al. (2020) </w:t>
            </w:r>
          </w:p>
        </w:tc>
        <w:tc>
          <w:tcPr>
            <w:tcW w:w="1215" w:type="dxa"/>
            <w:shd w:val="clear" w:color="auto" w:fill="auto"/>
            <w:tcMar>
              <w:top w:w="100" w:type="dxa"/>
              <w:left w:w="100" w:type="dxa"/>
              <w:bottom w:w="100" w:type="dxa"/>
              <w:right w:w="100" w:type="dxa"/>
            </w:tcMar>
          </w:tcPr>
          <w:p w14:paraId="4C8E4F7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0A8BC700"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263 emerging adult non-students (Mage 22.79, 49% male).</w:t>
            </w:r>
          </w:p>
        </w:tc>
        <w:tc>
          <w:tcPr>
            <w:tcW w:w="1290" w:type="dxa"/>
            <w:shd w:val="clear" w:color="auto" w:fill="auto"/>
            <w:tcMar>
              <w:top w:w="100" w:type="dxa"/>
              <w:left w:w="100" w:type="dxa"/>
              <w:bottom w:w="100" w:type="dxa"/>
              <w:right w:w="100" w:type="dxa"/>
            </w:tcMar>
          </w:tcPr>
          <w:p w14:paraId="2F5E100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469901B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Loot boxes</w:t>
            </w:r>
          </w:p>
        </w:tc>
        <w:tc>
          <w:tcPr>
            <w:tcW w:w="4590" w:type="dxa"/>
            <w:shd w:val="clear" w:color="auto" w:fill="auto"/>
            <w:tcMar>
              <w:top w:w="100" w:type="dxa"/>
              <w:left w:w="100" w:type="dxa"/>
              <w:bottom w:w="100" w:type="dxa"/>
              <w:right w:w="100" w:type="dxa"/>
            </w:tcMar>
          </w:tcPr>
          <w:p w14:paraId="76E43713"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 xml:space="preserve">There was a significant positive association between the reported hours spent playing video games and micro- transaction spending. Participants with IGD were more likely to have higher levels of </w:t>
            </w:r>
            <w:proofErr w:type="spellStart"/>
            <w:r>
              <w:rPr>
                <w:rFonts w:ascii="Times New Roman" w:eastAsia="Times New Roman" w:hAnsi="Times New Roman" w:cs="Times New Roman"/>
                <w:sz w:val="17"/>
                <w:szCs w:val="17"/>
                <w:highlight w:val="white"/>
              </w:rPr>
              <w:t>microtranscations</w:t>
            </w:r>
            <w:proofErr w:type="spellEnd"/>
            <w:r>
              <w:rPr>
                <w:rFonts w:ascii="Times New Roman" w:eastAsia="Times New Roman" w:hAnsi="Times New Roman" w:cs="Times New Roman"/>
                <w:sz w:val="17"/>
                <w:szCs w:val="17"/>
                <w:highlight w:val="white"/>
              </w:rPr>
              <w:t>.</w:t>
            </w:r>
          </w:p>
        </w:tc>
      </w:tr>
      <w:tr w:rsidR="00B862B4" w14:paraId="1C4754A0" w14:textId="77777777" w:rsidTr="003055DF">
        <w:tc>
          <w:tcPr>
            <w:tcW w:w="1125" w:type="dxa"/>
            <w:tcBorders>
              <w:top w:val="nil"/>
              <w:left w:val="nil"/>
              <w:bottom w:val="nil"/>
              <w:right w:val="nil"/>
            </w:tcBorders>
            <w:tcMar>
              <w:top w:w="40" w:type="dxa"/>
              <w:left w:w="40" w:type="dxa"/>
              <w:bottom w:w="40" w:type="dxa"/>
              <w:right w:w="40" w:type="dxa"/>
            </w:tcMar>
          </w:tcPr>
          <w:p w14:paraId="28B902CC"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Kuss et al. (2012)</w:t>
            </w:r>
          </w:p>
        </w:tc>
        <w:tc>
          <w:tcPr>
            <w:tcW w:w="1215" w:type="dxa"/>
            <w:shd w:val="clear" w:color="auto" w:fill="auto"/>
            <w:tcMar>
              <w:top w:w="100" w:type="dxa"/>
              <w:left w:w="100" w:type="dxa"/>
              <w:bottom w:w="100" w:type="dxa"/>
              <w:right w:w="100" w:type="dxa"/>
            </w:tcMar>
          </w:tcPr>
          <w:p w14:paraId="5CAD0BC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75AA7A1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265 participants, including 189 males and 76 females, with an average age of 21 years (</w:t>
            </w:r>
            <w:r>
              <w:rPr>
                <w:rFonts w:ascii="Times New Roman" w:eastAsia="Times New Roman" w:hAnsi="Times New Roman" w:cs="Times New Roman"/>
                <w:i/>
                <w:sz w:val="16"/>
                <w:szCs w:val="16"/>
              </w:rPr>
              <w:t>SD</w:t>
            </w:r>
            <w:r>
              <w:rPr>
                <w:rFonts w:ascii="Times New Roman" w:eastAsia="Times New Roman" w:hAnsi="Times New Roman" w:cs="Times New Roman"/>
                <w:sz w:val="16"/>
                <w:szCs w:val="16"/>
              </w:rPr>
              <w:t xml:space="preserve"> = 6.5 years), were recruited.</w:t>
            </w:r>
          </w:p>
        </w:tc>
        <w:tc>
          <w:tcPr>
            <w:tcW w:w="1290" w:type="dxa"/>
            <w:shd w:val="clear" w:color="auto" w:fill="auto"/>
            <w:tcMar>
              <w:top w:w="100" w:type="dxa"/>
              <w:left w:w="100" w:type="dxa"/>
              <w:bottom w:w="100" w:type="dxa"/>
              <w:right w:w="100" w:type="dxa"/>
            </w:tcMar>
          </w:tcPr>
          <w:p w14:paraId="281A63D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w:t>
            </w:r>
          </w:p>
        </w:tc>
        <w:tc>
          <w:tcPr>
            <w:tcW w:w="1515" w:type="dxa"/>
            <w:shd w:val="clear" w:color="auto" w:fill="auto"/>
            <w:tcMar>
              <w:top w:w="100" w:type="dxa"/>
              <w:left w:w="100" w:type="dxa"/>
              <w:bottom w:w="100" w:type="dxa"/>
              <w:right w:w="100" w:type="dxa"/>
            </w:tcMar>
          </w:tcPr>
          <w:p w14:paraId="17747A9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 (MMORPG)</w:t>
            </w:r>
          </w:p>
        </w:tc>
        <w:tc>
          <w:tcPr>
            <w:tcW w:w="4590" w:type="dxa"/>
            <w:shd w:val="clear" w:color="auto" w:fill="auto"/>
            <w:tcMar>
              <w:top w:w="100" w:type="dxa"/>
              <w:left w:w="100" w:type="dxa"/>
              <w:bottom w:w="100" w:type="dxa"/>
              <w:right w:w="100" w:type="dxa"/>
            </w:tcMar>
          </w:tcPr>
          <w:p w14:paraId="6A8F734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MMORPG players were significantly more likely to experience gaming-related problems than players who do not engage in playing MMORPGs. </w:t>
            </w:r>
          </w:p>
        </w:tc>
      </w:tr>
      <w:tr w:rsidR="00B862B4" w14:paraId="0014F336" w14:textId="77777777" w:rsidTr="003055DF">
        <w:tc>
          <w:tcPr>
            <w:tcW w:w="1125" w:type="dxa"/>
            <w:tcBorders>
              <w:top w:val="nil"/>
              <w:left w:val="nil"/>
              <w:bottom w:val="nil"/>
              <w:right w:val="nil"/>
            </w:tcBorders>
            <w:tcMar>
              <w:top w:w="40" w:type="dxa"/>
              <w:left w:w="40" w:type="dxa"/>
              <w:bottom w:w="40" w:type="dxa"/>
              <w:right w:w="40" w:type="dxa"/>
            </w:tcMar>
          </w:tcPr>
          <w:p w14:paraId="77863711"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Laconi</w:t>
            </w:r>
            <w:proofErr w:type="spellEnd"/>
            <w:r>
              <w:rPr>
                <w:rFonts w:ascii="Times New Roman" w:eastAsia="Times New Roman" w:hAnsi="Times New Roman" w:cs="Times New Roman"/>
                <w:sz w:val="16"/>
                <w:szCs w:val="16"/>
              </w:rPr>
              <w:t xml:space="preserve"> et al. (2017)</w:t>
            </w:r>
          </w:p>
        </w:tc>
        <w:tc>
          <w:tcPr>
            <w:tcW w:w="1215" w:type="dxa"/>
            <w:shd w:val="clear" w:color="auto" w:fill="auto"/>
            <w:tcMar>
              <w:top w:w="100" w:type="dxa"/>
              <w:left w:w="100" w:type="dxa"/>
              <w:bottom w:w="100" w:type="dxa"/>
              <w:right w:w="100" w:type="dxa"/>
            </w:tcMar>
          </w:tcPr>
          <w:p w14:paraId="72FB892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36CA62E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 sample of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418 was recruited online in France.</w:t>
            </w:r>
          </w:p>
        </w:tc>
        <w:tc>
          <w:tcPr>
            <w:tcW w:w="1290" w:type="dxa"/>
            <w:shd w:val="clear" w:color="auto" w:fill="auto"/>
            <w:tcMar>
              <w:top w:w="100" w:type="dxa"/>
              <w:left w:w="100" w:type="dxa"/>
              <w:bottom w:w="100" w:type="dxa"/>
              <w:right w:w="100" w:type="dxa"/>
            </w:tcMar>
          </w:tcPr>
          <w:p w14:paraId="0D40425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 Time Spent Gaming</w:t>
            </w:r>
          </w:p>
        </w:tc>
        <w:tc>
          <w:tcPr>
            <w:tcW w:w="1515" w:type="dxa"/>
            <w:shd w:val="clear" w:color="auto" w:fill="auto"/>
            <w:tcMar>
              <w:top w:w="100" w:type="dxa"/>
              <w:left w:w="100" w:type="dxa"/>
              <w:bottom w:w="100" w:type="dxa"/>
              <w:right w:w="100" w:type="dxa"/>
            </w:tcMar>
          </w:tcPr>
          <w:p w14:paraId="753E771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Social / competition motives, avatar presence, and genre (casual, action / adventure, MOBA, MMORPG) </w:t>
            </w:r>
          </w:p>
        </w:tc>
        <w:tc>
          <w:tcPr>
            <w:tcW w:w="4590" w:type="dxa"/>
            <w:shd w:val="clear" w:color="auto" w:fill="auto"/>
            <w:tcMar>
              <w:top w:w="100" w:type="dxa"/>
              <w:left w:w="100" w:type="dxa"/>
              <w:bottom w:w="100" w:type="dxa"/>
              <w:right w:w="100" w:type="dxa"/>
            </w:tcMar>
          </w:tcPr>
          <w:p w14:paraId="786CC6D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IGD participants </w:t>
            </w:r>
            <w:proofErr w:type="spellStart"/>
            <w:r>
              <w:rPr>
                <w:rFonts w:ascii="Times New Roman" w:eastAsia="Times New Roman" w:hAnsi="Times New Roman" w:cs="Times New Roman"/>
                <w:sz w:val="16"/>
                <w:szCs w:val="16"/>
              </w:rPr>
              <w:t>prefered</w:t>
            </w:r>
            <w:proofErr w:type="spellEnd"/>
            <w:r>
              <w:rPr>
                <w:rFonts w:ascii="Times New Roman" w:eastAsia="Times New Roman" w:hAnsi="Times New Roman" w:cs="Times New Roman"/>
                <w:sz w:val="16"/>
                <w:szCs w:val="16"/>
              </w:rPr>
              <w:t xml:space="preserve"> MOBA, casual games, other, action/adventure and MMORPG. Male IGD scores were significantly higher among action / adventure and "other" games. Female social motives were significantly higher among MOBA and MMORPG gamers. IGD scores were higher among action / adventure gamers, and NOT higher among MMORPG. Social motives were especially high in MOBA and MMORPG players, significantly for women.</w:t>
            </w:r>
          </w:p>
        </w:tc>
      </w:tr>
      <w:tr w:rsidR="00B862B4" w14:paraId="6AA9E2A4" w14:textId="77777777" w:rsidTr="003055DF">
        <w:trPr>
          <w:trHeight w:val="1392"/>
        </w:trPr>
        <w:tc>
          <w:tcPr>
            <w:tcW w:w="1125" w:type="dxa"/>
            <w:tcBorders>
              <w:top w:val="nil"/>
              <w:left w:val="nil"/>
              <w:bottom w:val="nil"/>
              <w:right w:val="nil"/>
            </w:tcBorders>
            <w:tcMar>
              <w:top w:w="40" w:type="dxa"/>
              <w:left w:w="40" w:type="dxa"/>
              <w:bottom w:w="40" w:type="dxa"/>
              <w:right w:w="40" w:type="dxa"/>
            </w:tcMar>
          </w:tcPr>
          <w:p w14:paraId="3EC30EA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Lee et al. (2007)</w:t>
            </w:r>
          </w:p>
        </w:tc>
        <w:tc>
          <w:tcPr>
            <w:tcW w:w="1215" w:type="dxa"/>
            <w:shd w:val="clear" w:color="auto" w:fill="auto"/>
            <w:tcMar>
              <w:top w:w="100" w:type="dxa"/>
              <w:left w:w="100" w:type="dxa"/>
              <w:bottom w:w="100" w:type="dxa"/>
              <w:right w:w="100" w:type="dxa"/>
            </w:tcMar>
          </w:tcPr>
          <w:p w14:paraId="5C15BA5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489A806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 xml:space="preserve">N </w:t>
            </w:r>
            <w:r>
              <w:rPr>
                <w:rFonts w:ascii="Times New Roman" w:eastAsia="Times New Roman" w:hAnsi="Times New Roman" w:cs="Times New Roman"/>
                <w:sz w:val="16"/>
                <w:szCs w:val="16"/>
              </w:rPr>
              <w:t xml:space="preserve">= 627, including </w:t>
            </w:r>
            <w:r>
              <w:rPr>
                <w:rFonts w:ascii="Times New Roman" w:eastAsia="Times New Roman" w:hAnsi="Times New Roman" w:cs="Times New Roman"/>
                <w:sz w:val="16"/>
                <w:szCs w:val="16"/>
                <w:highlight w:val="white"/>
              </w:rPr>
              <w:t>adolescent participants from one high school (</w:t>
            </w: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322) and two middle schools (</w:t>
            </w: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308)</w:t>
            </w:r>
          </w:p>
        </w:tc>
        <w:tc>
          <w:tcPr>
            <w:tcW w:w="1290" w:type="dxa"/>
            <w:shd w:val="clear" w:color="auto" w:fill="auto"/>
            <w:tcMar>
              <w:top w:w="100" w:type="dxa"/>
              <w:left w:w="100" w:type="dxa"/>
              <w:bottom w:w="100" w:type="dxa"/>
              <w:right w:w="100" w:type="dxa"/>
            </w:tcMar>
          </w:tcPr>
          <w:p w14:paraId="6A3C153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 Preference</w:t>
            </w:r>
          </w:p>
        </w:tc>
        <w:tc>
          <w:tcPr>
            <w:tcW w:w="1515" w:type="dxa"/>
            <w:shd w:val="clear" w:color="auto" w:fill="auto"/>
            <w:tcMar>
              <w:top w:w="100" w:type="dxa"/>
              <w:left w:w="100" w:type="dxa"/>
              <w:bottom w:w="100" w:type="dxa"/>
              <w:right w:w="100" w:type="dxa"/>
            </w:tcMar>
          </w:tcPr>
          <w:p w14:paraId="1E06516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Genres (RPG, simulation, shooting, web board, sports, shooting, community, adventure)</w:t>
            </w:r>
          </w:p>
        </w:tc>
        <w:tc>
          <w:tcPr>
            <w:tcW w:w="4590" w:type="dxa"/>
            <w:shd w:val="clear" w:color="auto" w:fill="auto"/>
            <w:tcMar>
              <w:top w:w="100" w:type="dxa"/>
              <w:left w:w="100" w:type="dxa"/>
              <w:bottom w:w="100" w:type="dxa"/>
              <w:right w:w="100" w:type="dxa"/>
            </w:tcMar>
          </w:tcPr>
          <w:p w14:paraId="736E546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RPG game users had a significantly higher mean total internet addiction score, and high-risk and normal internet user groups both showed the following preference order: simulation, RPG, and shooting </w:t>
            </w:r>
            <w:proofErr w:type="spellStart"/>
            <w:proofErr w:type="gramStart"/>
            <w:r>
              <w:rPr>
                <w:rFonts w:ascii="Times New Roman" w:eastAsia="Times New Roman" w:hAnsi="Times New Roman" w:cs="Times New Roman"/>
                <w:sz w:val="16"/>
                <w:szCs w:val="16"/>
              </w:rPr>
              <w:t>games.Overall</w:t>
            </w:r>
            <w:proofErr w:type="spellEnd"/>
            <w:proofErr w:type="gramEnd"/>
            <w:r>
              <w:rPr>
                <w:rFonts w:ascii="Times New Roman" w:eastAsia="Times New Roman" w:hAnsi="Times New Roman" w:cs="Times New Roman"/>
                <w:sz w:val="16"/>
                <w:szCs w:val="16"/>
              </w:rPr>
              <w:t>, simulation games were by far the most preferred (36.4%). Second was RPG (17.0%). The order of preference was simulation, RPG-action, web board, sports, shooting, community, and adventure.</w:t>
            </w:r>
          </w:p>
        </w:tc>
      </w:tr>
      <w:tr w:rsidR="00B862B4" w14:paraId="53E6A32C" w14:textId="77777777" w:rsidTr="003055DF">
        <w:tc>
          <w:tcPr>
            <w:tcW w:w="1125" w:type="dxa"/>
            <w:tcBorders>
              <w:top w:val="nil"/>
              <w:left w:val="nil"/>
              <w:bottom w:val="nil"/>
              <w:right w:val="nil"/>
            </w:tcBorders>
            <w:tcMar>
              <w:top w:w="40" w:type="dxa"/>
              <w:left w:w="40" w:type="dxa"/>
              <w:bottom w:w="40" w:type="dxa"/>
              <w:right w:w="40" w:type="dxa"/>
            </w:tcMar>
          </w:tcPr>
          <w:p w14:paraId="12688FF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Lee et al. (2020)</w:t>
            </w:r>
          </w:p>
        </w:tc>
        <w:tc>
          <w:tcPr>
            <w:tcW w:w="1215" w:type="dxa"/>
            <w:shd w:val="clear" w:color="auto" w:fill="auto"/>
            <w:tcMar>
              <w:top w:w="100" w:type="dxa"/>
              <w:left w:w="100" w:type="dxa"/>
              <w:bottom w:w="100" w:type="dxa"/>
              <w:right w:w="100" w:type="dxa"/>
            </w:tcMar>
          </w:tcPr>
          <w:p w14:paraId="506796C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3111066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406, including </w:t>
            </w:r>
            <w:r>
              <w:rPr>
                <w:rFonts w:ascii="Times New Roman" w:eastAsia="Times New Roman" w:hAnsi="Times New Roman" w:cs="Times New Roman"/>
                <w:sz w:val="16"/>
                <w:szCs w:val="16"/>
                <w:highlight w:val="white"/>
              </w:rPr>
              <w:t>241 Males, 165 Females. Ages ranged from 18 to 60, 60% between 21-30.</w:t>
            </w:r>
          </w:p>
        </w:tc>
        <w:tc>
          <w:tcPr>
            <w:tcW w:w="1290" w:type="dxa"/>
            <w:shd w:val="clear" w:color="auto" w:fill="auto"/>
            <w:tcMar>
              <w:top w:w="100" w:type="dxa"/>
              <w:left w:w="100" w:type="dxa"/>
              <w:bottom w:w="100" w:type="dxa"/>
              <w:right w:w="100" w:type="dxa"/>
            </w:tcMar>
          </w:tcPr>
          <w:p w14:paraId="75302FC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Immersion</w:t>
            </w:r>
          </w:p>
        </w:tc>
        <w:tc>
          <w:tcPr>
            <w:tcW w:w="1515" w:type="dxa"/>
            <w:shd w:val="clear" w:color="auto" w:fill="auto"/>
            <w:tcMar>
              <w:top w:w="100" w:type="dxa"/>
              <w:left w:w="100" w:type="dxa"/>
              <w:bottom w:w="100" w:type="dxa"/>
              <w:right w:w="100" w:type="dxa"/>
            </w:tcMar>
          </w:tcPr>
          <w:p w14:paraId="54A6D21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Achievement, </w:t>
            </w:r>
            <w:proofErr w:type="spellStart"/>
            <w:proofErr w:type="gramStart"/>
            <w:r>
              <w:rPr>
                <w:rFonts w:ascii="Times New Roman" w:eastAsia="Times New Roman" w:hAnsi="Times New Roman" w:cs="Times New Roman"/>
                <w:sz w:val="16"/>
                <w:szCs w:val="16"/>
              </w:rPr>
              <w:t>Immersion,Social</w:t>
            </w:r>
            <w:proofErr w:type="spellEnd"/>
            <w:proofErr w:type="gramEnd"/>
            <w:r>
              <w:rPr>
                <w:rFonts w:ascii="Times New Roman" w:eastAsia="Times New Roman" w:hAnsi="Times New Roman" w:cs="Times New Roman"/>
                <w:sz w:val="16"/>
                <w:szCs w:val="16"/>
              </w:rPr>
              <w:t xml:space="preserve"> Affordances</w:t>
            </w:r>
          </w:p>
        </w:tc>
        <w:tc>
          <w:tcPr>
            <w:tcW w:w="4590" w:type="dxa"/>
            <w:shd w:val="clear" w:color="auto" w:fill="auto"/>
            <w:tcMar>
              <w:top w:w="100" w:type="dxa"/>
              <w:left w:w="100" w:type="dxa"/>
              <w:bottom w:w="100" w:type="dxa"/>
              <w:right w:w="100" w:type="dxa"/>
            </w:tcMar>
          </w:tcPr>
          <w:p w14:paraId="1ED7B27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Achievement and Immersion show a positive relationship with positive and negative mood enhancement, which in turn shows a significant relationship with gaming addiction.</w:t>
            </w:r>
          </w:p>
        </w:tc>
      </w:tr>
      <w:tr w:rsidR="00B862B4" w14:paraId="37E116D6" w14:textId="77777777" w:rsidTr="003055DF">
        <w:tc>
          <w:tcPr>
            <w:tcW w:w="1125" w:type="dxa"/>
            <w:tcBorders>
              <w:top w:val="nil"/>
              <w:left w:val="nil"/>
              <w:bottom w:val="nil"/>
              <w:right w:val="nil"/>
            </w:tcBorders>
            <w:tcMar>
              <w:top w:w="40" w:type="dxa"/>
              <w:left w:w="40" w:type="dxa"/>
              <w:bottom w:w="40" w:type="dxa"/>
              <w:right w:w="40" w:type="dxa"/>
            </w:tcMar>
          </w:tcPr>
          <w:p w14:paraId="520EB94F"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Lemmens</w:t>
            </w:r>
            <w:proofErr w:type="spellEnd"/>
            <w:r>
              <w:rPr>
                <w:rFonts w:ascii="Times New Roman" w:eastAsia="Times New Roman" w:hAnsi="Times New Roman" w:cs="Times New Roman"/>
                <w:sz w:val="16"/>
                <w:szCs w:val="16"/>
              </w:rPr>
              <w:t xml:space="preserve"> &amp; Hendriks (2016)</w:t>
            </w:r>
          </w:p>
        </w:tc>
        <w:tc>
          <w:tcPr>
            <w:tcW w:w="1215" w:type="dxa"/>
            <w:shd w:val="clear" w:color="auto" w:fill="auto"/>
            <w:tcMar>
              <w:top w:w="100" w:type="dxa"/>
              <w:left w:w="100" w:type="dxa"/>
              <w:bottom w:w="100" w:type="dxa"/>
              <w:right w:w="100" w:type="dxa"/>
            </w:tcMar>
          </w:tcPr>
          <w:p w14:paraId="19E7DBE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EEAE17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2442. Participants </w:t>
            </w:r>
            <w:r>
              <w:rPr>
                <w:rFonts w:ascii="Times New Roman" w:eastAsia="Times New Roman" w:hAnsi="Times New Roman" w:cs="Times New Roman"/>
                <w:sz w:val="16"/>
                <w:szCs w:val="16"/>
                <w:highlight w:val="white"/>
              </w:rPr>
              <w:t>aged 13-40 were recruited from the Netherlands.</w:t>
            </w:r>
          </w:p>
        </w:tc>
        <w:tc>
          <w:tcPr>
            <w:tcW w:w="1290" w:type="dxa"/>
            <w:shd w:val="clear" w:color="auto" w:fill="auto"/>
            <w:tcMar>
              <w:top w:w="100" w:type="dxa"/>
              <w:left w:w="100" w:type="dxa"/>
              <w:bottom w:w="100" w:type="dxa"/>
              <w:right w:w="100" w:type="dxa"/>
            </w:tcMar>
          </w:tcPr>
          <w:p w14:paraId="43D94C5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02521D2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Genres (Shooters, RPGs, Puzzle, Action)</w:t>
            </w:r>
          </w:p>
        </w:tc>
        <w:tc>
          <w:tcPr>
            <w:tcW w:w="4590" w:type="dxa"/>
            <w:shd w:val="clear" w:color="auto" w:fill="auto"/>
            <w:tcMar>
              <w:top w:w="100" w:type="dxa"/>
              <w:left w:w="100" w:type="dxa"/>
              <w:bottom w:w="100" w:type="dxa"/>
              <w:right w:w="100" w:type="dxa"/>
            </w:tcMar>
          </w:tcPr>
          <w:p w14:paraId="2334B3C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Disordered gamers spent more than four times as much time playing online RPGs than non-disordered gamers. However, there was no significant difference between IGD and non-IGD groups for offline RPGs. IGD individuals spent more time playing online and offline shooters. Action games and strategy games had weak correlation with IGD.</w:t>
            </w:r>
          </w:p>
        </w:tc>
      </w:tr>
      <w:tr w:rsidR="00B862B4" w14:paraId="10E2BF06" w14:textId="77777777" w:rsidTr="003055DF">
        <w:tc>
          <w:tcPr>
            <w:tcW w:w="1125" w:type="dxa"/>
            <w:tcBorders>
              <w:top w:val="nil"/>
              <w:left w:val="nil"/>
              <w:bottom w:val="nil"/>
              <w:right w:val="nil"/>
            </w:tcBorders>
            <w:tcMar>
              <w:top w:w="40" w:type="dxa"/>
              <w:left w:w="40" w:type="dxa"/>
              <w:bottom w:w="40" w:type="dxa"/>
              <w:right w:w="40" w:type="dxa"/>
            </w:tcMar>
          </w:tcPr>
          <w:p w14:paraId="5135D5CD"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Lewis (2016)</w:t>
            </w:r>
          </w:p>
        </w:tc>
        <w:tc>
          <w:tcPr>
            <w:tcW w:w="1215" w:type="dxa"/>
            <w:shd w:val="clear" w:color="auto" w:fill="auto"/>
            <w:tcMar>
              <w:top w:w="100" w:type="dxa"/>
              <w:left w:w="100" w:type="dxa"/>
              <w:bottom w:w="100" w:type="dxa"/>
              <w:right w:w="100" w:type="dxa"/>
            </w:tcMar>
          </w:tcPr>
          <w:p w14:paraId="1957ECF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5D29C0B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246, with males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199) outnumbering females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47).</w:t>
            </w:r>
          </w:p>
        </w:tc>
        <w:tc>
          <w:tcPr>
            <w:tcW w:w="1290" w:type="dxa"/>
            <w:shd w:val="clear" w:color="auto" w:fill="auto"/>
            <w:tcMar>
              <w:top w:w="100" w:type="dxa"/>
              <w:left w:w="100" w:type="dxa"/>
              <w:bottom w:w="100" w:type="dxa"/>
              <w:right w:w="100" w:type="dxa"/>
            </w:tcMar>
          </w:tcPr>
          <w:p w14:paraId="25D37DF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 Time Spent Gaming, Immersion</w:t>
            </w:r>
          </w:p>
        </w:tc>
        <w:tc>
          <w:tcPr>
            <w:tcW w:w="1515" w:type="dxa"/>
            <w:shd w:val="clear" w:color="auto" w:fill="auto"/>
            <w:tcMar>
              <w:top w:w="100" w:type="dxa"/>
              <w:left w:w="100" w:type="dxa"/>
              <w:bottom w:w="100" w:type="dxa"/>
              <w:right w:w="100" w:type="dxa"/>
            </w:tcMar>
          </w:tcPr>
          <w:p w14:paraId="3D94DAE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w:t>
            </w:r>
          </w:p>
        </w:tc>
        <w:tc>
          <w:tcPr>
            <w:tcW w:w="4590" w:type="dxa"/>
            <w:shd w:val="clear" w:color="auto" w:fill="auto"/>
            <w:tcMar>
              <w:top w:w="100" w:type="dxa"/>
              <w:left w:w="100" w:type="dxa"/>
              <w:bottom w:w="100" w:type="dxa"/>
              <w:right w:w="100" w:type="dxa"/>
            </w:tcMar>
          </w:tcPr>
          <w:p w14:paraId="129FA0A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 independent variable, obsessive passion, was the strongest predictor of online gaming addiction. This indicates that the most important part of assessing gaming addiction is the value that the player ascribes gaming to their identity and self-esteem. The genders play for similar reasons and levels, (with achievement being a possible exception) but these factors contribute more to addiction among females.</w:t>
            </w:r>
          </w:p>
        </w:tc>
      </w:tr>
      <w:tr w:rsidR="00B862B4" w14:paraId="1932F748" w14:textId="77777777" w:rsidTr="003055DF">
        <w:tc>
          <w:tcPr>
            <w:tcW w:w="1125" w:type="dxa"/>
            <w:tcBorders>
              <w:top w:val="nil"/>
              <w:left w:val="nil"/>
              <w:bottom w:val="nil"/>
              <w:right w:val="nil"/>
            </w:tcBorders>
            <w:tcMar>
              <w:top w:w="40" w:type="dxa"/>
              <w:left w:w="40" w:type="dxa"/>
              <w:bottom w:w="40" w:type="dxa"/>
              <w:right w:w="40" w:type="dxa"/>
            </w:tcMar>
          </w:tcPr>
          <w:p w14:paraId="65C6FDED"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Li et al. (2019)</w:t>
            </w:r>
          </w:p>
        </w:tc>
        <w:tc>
          <w:tcPr>
            <w:tcW w:w="1215" w:type="dxa"/>
            <w:shd w:val="clear" w:color="auto" w:fill="auto"/>
            <w:tcMar>
              <w:top w:w="100" w:type="dxa"/>
              <w:left w:w="100" w:type="dxa"/>
              <w:bottom w:w="100" w:type="dxa"/>
              <w:right w:w="100" w:type="dxa"/>
            </w:tcMar>
          </w:tcPr>
          <w:p w14:paraId="1E08688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439DFCE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 total of 618 participants were included in the study. The average age of the sample was 27 years (</w:t>
            </w:r>
            <w:r>
              <w:rPr>
                <w:rFonts w:ascii="Times New Roman" w:eastAsia="Times New Roman" w:hAnsi="Times New Roman" w:cs="Times New Roman"/>
                <w:i/>
                <w:sz w:val="16"/>
                <w:szCs w:val="16"/>
                <w:highlight w:val="white"/>
              </w:rPr>
              <w:t>SD</w:t>
            </w:r>
            <w:r>
              <w:rPr>
                <w:rFonts w:ascii="Times New Roman" w:eastAsia="Times New Roman" w:hAnsi="Times New Roman" w:cs="Times New Roman"/>
                <w:sz w:val="16"/>
                <w:szCs w:val="16"/>
                <w:highlight w:val="white"/>
              </w:rPr>
              <w:t xml:space="preserve"> = 8.9).</w:t>
            </w:r>
          </w:p>
        </w:tc>
        <w:tc>
          <w:tcPr>
            <w:tcW w:w="1290" w:type="dxa"/>
            <w:shd w:val="clear" w:color="auto" w:fill="auto"/>
            <w:tcMar>
              <w:top w:w="100" w:type="dxa"/>
              <w:left w:w="100" w:type="dxa"/>
              <w:bottom w:w="100" w:type="dxa"/>
              <w:right w:w="100" w:type="dxa"/>
            </w:tcMar>
          </w:tcPr>
          <w:p w14:paraId="1EFCBE5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611E792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Loot boxes</w:t>
            </w:r>
          </w:p>
        </w:tc>
        <w:tc>
          <w:tcPr>
            <w:tcW w:w="4590" w:type="dxa"/>
            <w:shd w:val="clear" w:color="auto" w:fill="auto"/>
            <w:tcMar>
              <w:top w:w="100" w:type="dxa"/>
              <w:left w:w="100" w:type="dxa"/>
              <w:bottom w:w="100" w:type="dxa"/>
              <w:right w:w="100" w:type="dxa"/>
            </w:tcMar>
          </w:tcPr>
          <w:p w14:paraId="6919ADF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Participants who bought loot boxes were more likely to play video games more often, for longer, to show higher problem video game severity, and to be significantly more likely to meet the proposed criteria for IGD. Loot box purchasing was directly associated with greater problem video gaming severity. </w:t>
            </w:r>
          </w:p>
        </w:tc>
      </w:tr>
      <w:tr w:rsidR="00B862B4" w14:paraId="7C31B4B2" w14:textId="77777777" w:rsidTr="003055DF">
        <w:tc>
          <w:tcPr>
            <w:tcW w:w="1125" w:type="dxa"/>
            <w:tcBorders>
              <w:top w:val="nil"/>
              <w:left w:val="nil"/>
              <w:bottom w:val="nil"/>
              <w:right w:val="nil"/>
            </w:tcBorders>
            <w:tcMar>
              <w:top w:w="40" w:type="dxa"/>
              <w:left w:w="40" w:type="dxa"/>
              <w:bottom w:w="40" w:type="dxa"/>
              <w:right w:w="40" w:type="dxa"/>
            </w:tcMar>
          </w:tcPr>
          <w:p w14:paraId="53453AE1"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Li et al. (2020)</w:t>
            </w:r>
          </w:p>
        </w:tc>
        <w:tc>
          <w:tcPr>
            <w:tcW w:w="1215" w:type="dxa"/>
            <w:shd w:val="clear" w:color="auto" w:fill="auto"/>
            <w:tcMar>
              <w:top w:w="100" w:type="dxa"/>
              <w:left w:w="100" w:type="dxa"/>
              <w:bottom w:w="100" w:type="dxa"/>
              <w:right w:w="100" w:type="dxa"/>
            </w:tcMar>
          </w:tcPr>
          <w:p w14:paraId="21F0ACA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291C06C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508 gamers, with a mean age of 18.54 years (</w:t>
            </w:r>
            <w:r>
              <w:rPr>
                <w:rFonts w:ascii="Times New Roman" w:eastAsia="Times New Roman" w:hAnsi="Times New Roman" w:cs="Times New Roman"/>
                <w:i/>
                <w:sz w:val="16"/>
                <w:szCs w:val="16"/>
                <w:highlight w:val="white"/>
              </w:rPr>
              <w:t>SD</w:t>
            </w:r>
            <w:r>
              <w:rPr>
                <w:rFonts w:ascii="Times New Roman" w:eastAsia="Times New Roman" w:hAnsi="Times New Roman" w:cs="Times New Roman"/>
                <w:sz w:val="16"/>
                <w:szCs w:val="16"/>
                <w:highlight w:val="white"/>
              </w:rPr>
              <w:t xml:space="preserve"> = .86). The sample comprised 386 males and 122 females.</w:t>
            </w:r>
          </w:p>
        </w:tc>
        <w:tc>
          <w:tcPr>
            <w:tcW w:w="1290" w:type="dxa"/>
            <w:shd w:val="clear" w:color="auto" w:fill="auto"/>
            <w:tcMar>
              <w:top w:w="100" w:type="dxa"/>
              <w:left w:w="100" w:type="dxa"/>
              <w:bottom w:w="100" w:type="dxa"/>
              <w:right w:w="100" w:type="dxa"/>
            </w:tcMar>
          </w:tcPr>
          <w:p w14:paraId="333D4CD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51B9F60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Avatar presence</w:t>
            </w:r>
          </w:p>
        </w:tc>
        <w:tc>
          <w:tcPr>
            <w:tcW w:w="4590" w:type="dxa"/>
            <w:shd w:val="clear" w:color="auto" w:fill="auto"/>
            <w:tcMar>
              <w:top w:w="100" w:type="dxa"/>
              <w:left w:w="100" w:type="dxa"/>
              <w:bottom w:w="100" w:type="dxa"/>
              <w:right w:w="100" w:type="dxa"/>
            </w:tcMar>
          </w:tcPr>
          <w:p w14:paraId="6620322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Avatar identification positively predicted gamers IGA as well as acting as a mediator between actual-ideal self-discrepancy and IGA, indicating that avatar identification is a risk factor for gamers’ IGA symptoms.</w:t>
            </w:r>
          </w:p>
        </w:tc>
      </w:tr>
      <w:tr w:rsidR="00B862B4" w14:paraId="76B8DAFF" w14:textId="77777777" w:rsidTr="003055DF">
        <w:tc>
          <w:tcPr>
            <w:tcW w:w="1125" w:type="dxa"/>
            <w:tcBorders>
              <w:top w:val="nil"/>
              <w:left w:val="nil"/>
              <w:bottom w:val="nil"/>
              <w:right w:val="nil"/>
            </w:tcBorders>
            <w:tcMar>
              <w:top w:w="40" w:type="dxa"/>
              <w:left w:w="40" w:type="dxa"/>
              <w:bottom w:w="40" w:type="dxa"/>
              <w:right w:w="40" w:type="dxa"/>
            </w:tcMar>
          </w:tcPr>
          <w:p w14:paraId="19EE1464"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Liew et al. (2018)</w:t>
            </w:r>
          </w:p>
        </w:tc>
        <w:tc>
          <w:tcPr>
            <w:tcW w:w="1215" w:type="dxa"/>
            <w:shd w:val="clear" w:color="auto" w:fill="auto"/>
            <w:tcMar>
              <w:top w:w="100" w:type="dxa"/>
              <w:left w:w="100" w:type="dxa"/>
              <w:bottom w:w="100" w:type="dxa"/>
              <w:right w:w="100" w:type="dxa"/>
            </w:tcMar>
          </w:tcPr>
          <w:p w14:paraId="5D91006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 &amp; mixed methods</w:t>
            </w:r>
          </w:p>
        </w:tc>
        <w:tc>
          <w:tcPr>
            <w:tcW w:w="2955" w:type="dxa"/>
            <w:shd w:val="clear" w:color="auto" w:fill="auto"/>
            <w:tcMar>
              <w:top w:w="100" w:type="dxa"/>
              <w:left w:w="100" w:type="dxa"/>
              <w:bottom w:w="100" w:type="dxa"/>
              <w:right w:w="100" w:type="dxa"/>
            </w:tcMar>
          </w:tcPr>
          <w:p w14:paraId="1EC8E1C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The sample comprised 125 participants who were aged between 18 and 29 years old, Australian residents, and played MMO games. </w:t>
            </w:r>
          </w:p>
        </w:tc>
        <w:tc>
          <w:tcPr>
            <w:tcW w:w="1290" w:type="dxa"/>
            <w:shd w:val="clear" w:color="auto" w:fill="auto"/>
            <w:tcMar>
              <w:top w:w="100" w:type="dxa"/>
              <w:left w:w="100" w:type="dxa"/>
              <w:bottom w:w="100" w:type="dxa"/>
              <w:right w:w="100" w:type="dxa"/>
            </w:tcMar>
          </w:tcPr>
          <w:p w14:paraId="1B8A8D4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2D5990B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Avatar presence</w:t>
            </w:r>
          </w:p>
        </w:tc>
        <w:tc>
          <w:tcPr>
            <w:tcW w:w="4590" w:type="dxa"/>
            <w:shd w:val="clear" w:color="auto" w:fill="auto"/>
            <w:tcMar>
              <w:top w:w="100" w:type="dxa"/>
              <w:left w:w="100" w:type="dxa"/>
              <w:bottom w:w="100" w:type="dxa"/>
              <w:right w:w="100" w:type="dxa"/>
            </w:tcMar>
          </w:tcPr>
          <w:p w14:paraId="601091D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Higher PSP (level of physical body identification with avatar) was associated with significantly higher IGD behaviors. Higher physical activity weakens the risk effect of PSP on IGD behaviors. </w:t>
            </w:r>
          </w:p>
        </w:tc>
      </w:tr>
      <w:tr w:rsidR="00B862B4" w14:paraId="5B7787A6" w14:textId="77777777" w:rsidTr="003055DF">
        <w:tc>
          <w:tcPr>
            <w:tcW w:w="1125" w:type="dxa"/>
            <w:tcBorders>
              <w:top w:val="nil"/>
              <w:left w:val="nil"/>
              <w:bottom w:val="nil"/>
              <w:right w:val="nil"/>
            </w:tcBorders>
            <w:tcMar>
              <w:top w:w="40" w:type="dxa"/>
              <w:left w:w="40" w:type="dxa"/>
              <w:bottom w:w="40" w:type="dxa"/>
              <w:right w:w="40" w:type="dxa"/>
            </w:tcMar>
          </w:tcPr>
          <w:p w14:paraId="2CB65150"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Lopez-Fernandez et al. (2019)</w:t>
            </w:r>
          </w:p>
        </w:tc>
        <w:tc>
          <w:tcPr>
            <w:tcW w:w="1215" w:type="dxa"/>
            <w:shd w:val="clear" w:color="auto" w:fill="auto"/>
            <w:tcMar>
              <w:top w:w="100" w:type="dxa"/>
              <w:left w:w="100" w:type="dxa"/>
              <w:bottom w:w="100" w:type="dxa"/>
              <w:right w:w="100" w:type="dxa"/>
            </w:tcMar>
          </w:tcPr>
          <w:p w14:paraId="695A3A7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458196E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625, with a mean age of 26.87, </w:t>
            </w:r>
            <w:r>
              <w:rPr>
                <w:rFonts w:ascii="Times New Roman" w:eastAsia="Times New Roman" w:hAnsi="Times New Roman" w:cs="Times New Roman"/>
                <w:i/>
                <w:sz w:val="16"/>
                <w:szCs w:val="16"/>
              </w:rPr>
              <w:t>SD</w:t>
            </w:r>
            <w:r>
              <w:rPr>
                <w:rFonts w:ascii="Times New Roman" w:eastAsia="Times New Roman" w:hAnsi="Times New Roman" w:cs="Times New Roman"/>
                <w:sz w:val="16"/>
                <w:szCs w:val="16"/>
              </w:rPr>
              <w:t xml:space="preserve"> = 6.9.</w:t>
            </w:r>
          </w:p>
        </w:tc>
        <w:tc>
          <w:tcPr>
            <w:tcW w:w="1290" w:type="dxa"/>
            <w:shd w:val="clear" w:color="auto" w:fill="auto"/>
            <w:tcMar>
              <w:top w:w="100" w:type="dxa"/>
              <w:left w:w="100" w:type="dxa"/>
              <w:bottom w:w="100" w:type="dxa"/>
              <w:right w:w="100" w:type="dxa"/>
            </w:tcMar>
          </w:tcPr>
          <w:p w14:paraId="17864A0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w:t>
            </w:r>
          </w:p>
        </w:tc>
        <w:tc>
          <w:tcPr>
            <w:tcW w:w="1515" w:type="dxa"/>
            <w:shd w:val="clear" w:color="auto" w:fill="auto"/>
            <w:tcMar>
              <w:top w:w="100" w:type="dxa"/>
              <w:left w:w="100" w:type="dxa"/>
              <w:bottom w:w="100" w:type="dxa"/>
              <w:right w:w="100" w:type="dxa"/>
            </w:tcMar>
          </w:tcPr>
          <w:p w14:paraId="15D28D9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Avatar identification, Genre (MMORPG, RPG, MOBA, </w:t>
            </w:r>
            <w:r>
              <w:rPr>
                <w:rFonts w:ascii="Times New Roman" w:eastAsia="Times New Roman" w:hAnsi="Times New Roman" w:cs="Times New Roman"/>
                <w:sz w:val="16"/>
                <w:szCs w:val="16"/>
                <w:highlight w:val="white"/>
              </w:rPr>
              <w:lastRenderedPageBreak/>
              <w:t xml:space="preserve">FPS/Shooting, Adventure, Simulation) </w:t>
            </w:r>
          </w:p>
        </w:tc>
        <w:tc>
          <w:tcPr>
            <w:tcW w:w="4590" w:type="dxa"/>
            <w:shd w:val="clear" w:color="auto" w:fill="auto"/>
            <w:tcMar>
              <w:top w:w="100" w:type="dxa"/>
              <w:left w:w="100" w:type="dxa"/>
              <w:bottom w:w="100" w:type="dxa"/>
              <w:right w:w="100" w:type="dxa"/>
            </w:tcMar>
          </w:tcPr>
          <w:p w14:paraId="498DAEC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lastRenderedPageBreak/>
              <w:t xml:space="preserve">Risk factors for increased IGD include achievement and social motivations, embodied presence and identification with the avatar, </w:t>
            </w:r>
            <w:proofErr w:type="gramStart"/>
            <w:r>
              <w:rPr>
                <w:rFonts w:ascii="Times New Roman" w:eastAsia="Times New Roman" w:hAnsi="Times New Roman" w:cs="Times New Roman"/>
                <w:sz w:val="16"/>
                <w:szCs w:val="16"/>
                <w:highlight w:val="white"/>
              </w:rPr>
              <w:t>hostility</w:t>
            </w:r>
            <w:proofErr w:type="gramEnd"/>
            <w:r>
              <w:rPr>
                <w:rFonts w:ascii="Times New Roman" w:eastAsia="Times New Roman" w:hAnsi="Times New Roman" w:cs="Times New Roman"/>
                <w:sz w:val="16"/>
                <w:szCs w:val="16"/>
                <w:highlight w:val="white"/>
              </w:rPr>
              <w:t xml:space="preserve"> and social phobia together with negative body image, playing MOBA, MMORPG, and FPS games. RPG, simulation, and </w:t>
            </w:r>
            <w:r>
              <w:rPr>
                <w:rFonts w:ascii="Times New Roman" w:eastAsia="Times New Roman" w:hAnsi="Times New Roman" w:cs="Times New Roman"/>
                <w:sz w:val="16"/>
                <w:szCs w:val="16"/>
                <w:highlight w:val="white"/>
              </w:rPr>
              <w:lastRenderedPageBreak/>
              <w:t>adventure genres had a negative relationship with the outcome variable.</w:t>
            </w:r>
          </w:p>
        </w:tc>
      </w:tr>
      <w:tr w:rsidR="00B862B4" w14:paraId="3FBC5B55" w14:textId="77777777" w:rsidTr="003055DF">
        <w:tc>
          <w:tcPr>
            <w:tcW w:w="1125" w:type="dxa"/>
            <w:tcBorders>
              <w:top w:val="nil"/>
              <w:left w:val="nil"/>
              <w:bottom w:val="nil"/>
              <w:right w:val="nil"/>
            </w:tcBorders>
            <w:tcMar>
              <w:top w:w="40" w:type="dxa"/>
              <w:left w:w="40" w:type="dxa"/>
              <w:bottom w:w="40" w:type="dxa"/>
              <w:right w:w="40" w:type="dxa"/>
            </w:tcMar>
          </w:tcPr>
          <w:p w14:paraId="139BC658"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Mancini et al. (2019)</w:t>
            </w:r>
          </w:p>
        </w:tc>
        <w:tc>
          <w:tcPr>
            <w:tcW w:w="1215" w:type="dxa"/>
            <w:shd w:val="clear" w:color="auto" w:fill="auto"/>
            <w:tcMar>
              <w:top w:w="100" w:type="dxa"/>
              <w:left w:w="100" w:type="dxa"/>
              <w:bottom w:w="100" w:type="dxa"/>
              <w:right w:w="100" w:type="dxa"/>
            </w:tcMar>
          </w:tcPr>
          <w:p w14:paraId="5A14EC0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FB0462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Study 1: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770. Participants’ age ranged from 14 to 62 years (</w:t>
            </w:r>
            <w:r>
              <w:rPr>
                <w:rFonts w:ascii="Times New Roman" w:eastAsia="Times New Roman" w:hAnsi="Times New Roman" w:cs="Times New Roman"/>
                <w:i/>
                <w:sz w:val="16"/>
                <w:szCs w:val="16"/>
              </w:rPr>
              <w:t>M</w:t>
            </w:r>
            <w:r>
              <w:rPr>
                <w:rFonts w:ascii="Times New Roman" w:eastAsia="Times New Roman" w:hAnsi="Times New Roman" w:cs="Times New Roman"/>
                <w:sz w:val="16"/>
                <w:szCs w:val="16"/>
              </w:rPr>
              <w:t xml:space="preserve"> = 27.48, </w:t>
            </w:r>
            <w:r>
              <w:rPr>
                <w:rFonts w:ascii="Times New Roman" w:eastAsia="Times New Roman" w:hAnsi="Times New Roman" w:cs="Times New Roman"/>
                <w:i/>
                <w:sz w:val="16"/>
                <w:szCs w:val="16"/>
              </w:rPr>
              <w:t>SD</w:t>
            </w:r>
            <w:r>
              <w:rPr>
                <w:rFonts w:ascii="Times New Roman" w:eastAsia="Times New Roman" w:hAnsi="Times New Roman" w:cs="Times New Roman"/>
                <w:sz w:val="16"/>
                <w:szCs w:val="16"/>
              </w:rPr>
              <w:t xml:space="preserve"> = 9.30).</w:t>
            </w:r>
          </w:p>
        </w:tc>
        <w:tc>
          <w:tcPr>
            <w:tcW w:w="1290" w:type="dxa"/>
            <w:shd w:val="clear" w:color="auto" w:fill="auto"/>
            <w:tcMar>
              <w:top w:w="100" w:type="dxa"/>
              <w:left w:w="100" w:type="dxa"/>
              <w:bottom w:w="100" w:type="dxa"/>
              <w:right w:w="100" w:type="dxa"/>
            </w:tcMar>
          </w:tcPr>
          <w:p w14:paraId="5881009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67FF9AC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Avatar identification</w:t>
            </w:r>
          </w:p>
        </w:tc>
        <w:tc>
          <w:tcPr>
            <w:tcW w:w="4590" w:type="dxa"/>
            <w:shd w:val="clear" w:color="auto" w:fill="auto"/>
            <w:tcMar>
              <w:top w:w="100" w:type="dxa"/>
              <w:left w:w="100" w:type="dxa"/>
              <w:bottom w:w="100" w:type="dxa"/>
              <w:right w:w="100" w:type="dxa"/>
            </w:tcMar>
          </w:tcPr>
          <w:p w14:paraId="53E2D2C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Study 1 found that an idealized avatar and a utopian avatar are associated with gaming addiction, and this relationship is mediated by avatar identification. Regardless of the type of the avatar used, when avatar identification became stronger, gaming addiction increased.</w:t>
            </w:r>
          </w:p>
        </w:tc>
      </w:tr>
      <w:tr w:rsidR="00B862B4" w14:paraId="22E35111" w14:textId="77777777" w:rsidTr="003055DF">
        <w:tc>
          <w:tcPr>
            <w:tcW w:w="1125" w:type="dxa"/>
            <w:tcBorders>
              <w:top w:val="nil"/>
              <w:left w:val="nil"/>
              <w:bottom w:val="nil"/>
              <w:right w:val="nil"/>
            </w:tcBorders>
            <w:tcMar>
              <w:top w:w="40" w:type="dxa"/>
              <w:left w:w="40" w:type="dxa"/>
              <w:bottom w:w="40" w:type="dxa"/>
              <w:right w:w="40" w:type="dxa"/>
            </w:tcMar>
          </w:tcPr>
          <w:p w14:paraId="38089336"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Männikkö</w:t>
            </w:r>
            <w:proofErr w:type="spellEnd"/>
            <w:r>
              <w:rPr>
                <w:rFonts w:ascii="Times New Roman" w:eastAsia="Times New Roman" w:hAnsi="Times New Roman" w:cs="Times New Roman"/>
                <w:sz w:val="16"/>
                <w:szCs w:val="16"/>
              </w:rPr>
              <w:t xml:space="preserve"> et al. (2016)</w:t>
            </w:r>
          </w:p>
        </w:tc>
        <w:tc>
          <w:tcPr>
            <w:tcW w:w="1215" w:type="dxa"/>
            <w:shd w:val="clear" w:color="auto" w:fill="auto"/>
            <w:tcMar>
              <w:top w:w="100" w:type="dxa"/>
              <w:left w:w="100" w:type="dxa"/>
              <w:bottom w:w="100" w:type="dxa"/>
              <w:right w:w="100" w:type="dxa"/>
            </w:tcMar>
          </w:tcPr>
          <w:p w14:paraId="3C04557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0D4F575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271. </w:t>
            </w:r>
            <w:r>
              <w:rPr>
                <w:rFonts w:ascii="Times New Roman" w:eastAsia="Times New Roman" w:hAnsi="Times New Roman" w:cs="Times New Roman"/>
                <w:sz w:val="16"/>
                <w:szCs w:val="16"/>
                <w:highlight w:val="white"/>
              </w:rPr>
              <w:t>The average age of the participants was 18.7 years (</w:t>
            </w:r>
            <w:r>
              <w:rPr>
                <w:rFonts w:ascii="Times New Roman" w:eastAsia="Times New Roman" w:hAnsi="Times New Roman" w:cs="Times New Roman"/>
                <w:i/>
                <w:sz w:val="16"/>
                <w:szCs w:val="16"/>
                <w:highlight w:val="white"/>
              </w:rPr>
              <w:t>SD</w:t>
            </w:r>
            <w:r>
              <w:rPr>
                <w:rFonts w:ascii="Times New Roman" w:eastAsia="Times New Roman" w:hAnsi="Times New Roman" w:cs="Times New Roman"/>
                <w:sz w:val="16"/>
                <w:szCs w:val="16"/>
                <w:highlight w:val="white"/>
              </w:rPr>
              <w:t xml:space="preserve"> = 3.45).</w:t>
            </w:r>
          </w:p>
        </w:tc>
        <w:tc>
          <w:tcPr>
            <w:tcW w:w="1290" w:type="dxa"/>
            <w:shd w:val="clear" w:color="auto" w:fill="auto"/>
            <w:tcMar>
              <w:top w:w="100" w:type="dxa"/>
              <w:left w:w="100" w:type="dxa"/>
              <w:bottom w:w="100" w:type="dxa"/>
              <w:right w:w="100" w:type="dxa"/>
            </w:tcMar>
          </w:tcPr>
          <w:p w14:paraId="37D6D61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47E0D5C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Genres (sports, simulation, puzzle, fighting, music, card)</w:t>
            </w:r>
          </w:p>
        </w:tc>
        <w:tc>
          <w:tcPr>
            <w:tcW w:w="4590" w:type="dxa"/>
            <w:shd w:val="clear" w:color="auto" w:fill="auto"/>
            <w:tcMar>
              <w:top w:w="100" w:type="dxa"/>
              <w:left w:w="100" w:type="dxa"/>
              <w:bottom w:w="100" w:type="dxa"/>
              <w:right w:w="100" w:type="dxa"/>
            </w:tcMar>
          </w:tcPr>
          <w:p w14:paraId="1775F27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Problematic gaming behavior was significantly associated with role-playing, progression, </w:t>
            </w:r>
            <w:proofErr w:type="gramStart"/>
            <w:r>
              <w:rPr>
                <w:rFonts w:ascii="Times New Roman" w:eastAsia="Times New Roman" w:hAnsi="Times New Roman" w:cs="Times New Roman"/>
                <w:sz w:val="16"/>
                <w:szCs w:val="16"/>
              </w:rPr>
              <w:t>action</w:t>
            </w:r>
            <w:proofErr w:type="gramEnd"/>
            <w:r>
              <w:rPr>
                <w:rFonts w:ascii="Times New Roman" w:eastAsia="Times New Roman" w:hAnsi="Times New Roman" w:cs="Times New Roman"/>
                <w:sz w:val="16"/>
                <w:szCs w:val="16"/>
              </w:rPr>
              <w:t xml:space="preserve"> and strategy components. </w:t>
            </w:r>
          </w:p>
        </w:tc>
      </w:tr>
      <w:tr w:rsidR="00B862B4" w14:paraId="748CFA8F" w14:textId="77777777" w:rsidTr="003055DF">
        <w:tc>
          <w:tcPr>
            <w:tcW w:w="1125" w:type="dxa"/>
            <w:tcBorders>
              <w:top w:val="nil"/>
              <w:left w:val="nil"/>
              <w:bottom w:val="nil"/>
              <w:right w:val="nil"/>
            </w:tcBorders>
            <w:tcMar>
              <w:top w:w="40" w:type="dxa"/>
              <w:left w:w="40" w:type="dxa"/>
              <w:bottom w:w="40" w:type="dxa"/>
              <w:right w:w="40" w:type="dxa"/>
            </w:tcMar>
          </w:tcPr>
          <w:p w14:paraId="05A9B57F"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Männikkö</w:t>
            </w:r>
            <w:proofErr w:type="spellEnd"/>
            <w:r>
              <w:rPr>
                <w:rFonts w:ascii="Times New Roman" w:eastAsia="Times New Roman" w:hAnsi="Times New Roman" w:cs="Times New Roman"/>
                <w:sz w:val="16"/>
                <w:szCs w:val="16"/>
              </w:rPr>
              <w:t xml:space="preserve"> et al. (2019)</w:t>
            </w:r>
          </w:p>
        </w:tc>
        <w:tc>
          <w:tcPr>
            <w:tcW w:w="1215" w:type="dxa"/>
            <w:shd w:val="clear" w:color="auto" w:fill="auto"/>
            <w:tcMar>
              <w:top w:w="100" w:type="dxa"/>
              <w:left w:w="100" w:type="dxa"/>
              <w:bottom w:w="100" w:type="dxa"/>
              <w:right w:w="100" w:type="dxa"/>
            </w:tcMar>
          </w:tcPr>
          <w:p w14:paraId="5AA4851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Prevalence Study</w:t>
            </w:r>
          </w:p>
        </w:tc>
        <w:tc>
          <w:tcPr>
            <w:tcW w:w="2955" w:type="dxa"/>
            <w:shd w:val="clear" w:color="auto" w:fill="auto"/>
            <w:tcMar>
              <w:top w:w="100" w:type="dxa"/>
              <w:left w:w="100" w:type="dxa"/>
              <w:bottom w:w="100" w:type="dxa"/>
              <w:right w:w="100" w:type="dxa"/>
            </w:tcMar>
          </w:tcPr>
          <w:p w14:paraId="7492361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1335. </w:t>
            </w:r>
            <w:r>
              <w:rPr>
                <w:rFonts w:ascii="Times New Roman" w:eastAsia="Times New Roman" w:hAnsi="Times New Roman" w:cs="Times New Roman"/>
                <w:sz w:val="16"/>
                <w:szCs w:val="16"/>
                <w:highlight w:val="white"/>
              </w:rPr>
              <w:t>Participants were students enrolled in a vocational school in the municipality of Oulu in northern Finland.</w:t>
            </w:r>
          </w:p>
        </w:tc>
        <w:tc>
          <w:tcPr>
            <w:tcW w:w="1290" w:type="dxa"/>
            <w:shd w:val="clear" w:color="auto" w:fill="auto"/>
            <w:tcMar>
              <w:top w:w="100" w:type="dxa"/>
              <w:left w:w="100" w:type="dxa"/>
              <w:bottom w:w="100" w:type="dxa"/>
              <w:right w:w="100" w:type="dxa"/>
            </w:tcMar>
          </w:tcPr>
          <w:p w14:paraId="28320AC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Preference</w:t>
            </w:r>
          </w:p>
        </w:tc>
        <w:tc>
          <w:tcPr>
            <w:tcW w:w="1515" w:type="dxa"/>
            <w:shd w:val="clear" w:color="auto" w:fill="auto"/>
            <w:tcMar>
              <w:top w:w="100" w:type="dxa"/>
              <w:left w:w="100" w:type="dxa"/>
              <w:bottom w:w="100" w:type="dxa"/>
              <w:right w:w="100" w:type="dxa"/>
            </w:tcMar>
          </w:tcPr>
          <w:p w14:paraId="22D4B9B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Platform (Personal Computer), Genre (MOBA, Solo, Shooting)</w:t>
            </w:r>
          </w:p>
        </w:tc>
        <w:tc>
          <w:tcPr>
            <w:tcW w:w="4590" w:type="dxa"/>
            <w:shd w:val="clear" w:color="auto" w:fill="auto"/>
            <w:tcMar>
              <w:top w:w="100" w:type="dxa"/>
              <w:left w:w="100" w:type="dxa"/>
              <w:bottom w:w="100" w:type="dxa"/>
              <w:right w:w="100" w:type="dxa"/>
            </w:tcMar>
          </w:tcPr>
          <w:p w14:paraId="55E6064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Individuals with problematic gaming behavior (PGB) were more likely to prefer gaming on a personal computer and to prefer game genres that were MOBA and solo game genres. There was no significant relationship between PGB and the shooting genre.</w:t>
            </w:r>
          </w:p>
        </w:tc>
      </w:tr>
      <w:tr w:rsidR="00B862B4" w14:paraId="6A11A5F7" w14:textId="77777777" w:rsidTr="003055DF">
        <w:tc>
          <w:tcPr>
            <w:tcW w:w="1125" w:type="dxa"/>
            <w:tcBorders>
              <w:top w:val="nil"/>
              <w:left w:val="nil"/>
              <w:bottom w:val="nil"/>
              <w:right w:val="nil"/>
            </w:tcBorders>
            <w:tcMar>
              <w:top w:w="40" w:type="dxa"/>
              <w:left w:w="40" w:type="dxa"/>
              <w:bottom w:w="40" w:type="dxa"/>
              <w:right w:w="40" w:type="dxa"/>
            </w:tcMar>
          </w:tcPr>
          <w:p w14:paraId="5F75356F"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Morcos</w:t>
            </w:r>
            <w:proofErr w:type="spellEnd"/>
            <w:r>
              <w:rPr>
                <w:rFonts w:ascii="Times New Roman" w:eastAsia="Times New Roman" w:hAnsi="Times New Roman" w:cs="Times New Roman"/>
                <w:sz w:val="16"/>
                <w:szCs w:val="16"/>
              </w:rPr>
              <w:t xml:space="preserve"> et al. (2019)</w:t>
            </w:r>
          </w:p>
        </w:tc>
        <w:tc>
          <w:tcPr>
            <w:tcW w:w="1215" w:type="dxa"/>
            <w:shd w:val="clear" w:color="auto" w:fill="auto"/>
            <w:tcMar>
              <w:top w:w="100" w:type="dxa"/>
              <w:left w:w="100" w:type="dxa"/>
              <w:bottom w:w="100" w:type="dxa"/>
              <w:right w:w="100" w:type="dxa"/>
            </w:tcMar>
          </w:tcPr>
          <w:p w14:paraId="2E8FDC5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004902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404 participants were recruited online.</w:t>
            </w:r>
          </w:p>
        </w:tc>
        <w:tc>
          <w:tcPr>
            <w:tcW w:w="1290" w:type="dxa"/>
            <w:shd w:val="clear" w:color="auto" w:fill="auto"/>
            <w:tcMar>
              <w:top w:w="100" w:type="dxa"/>
              <w:left w:w="100" w:type="dxa"/>
              <w:bottom w:w="100" w:type="dxa"/>
              <w:right w:w="100" w:type="dxa"/>
            </w:tcMar>
          </w:tcPr>
          <w:p w14:paraId="2A1A275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486511C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Virtual demographics of avatar </w:t>
            </w:r>
          </w:p>
        </w:tc>
        <w:tc>
          <w:tcPr>
            <w:tcW w:w="4590" w:type="dxa"/>
            <w:shd w:val="clear" w:color="auto" w:fill="auto"/>
            <w:tcMar>
              <w:top w:w="100" w:type="dxa"/>
              <w:left w:w="100" w:type="dxa"/>
              <w:bottom w:w="100" w:type="dxa"/>
              <w:right w:w="100" w:type="dxa"/>
            </w:tcMar>
          </w:tcPr>
          <w:p w14:paraId="68679D7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Compensation was found to affect the link between choosing the </w:t>
            </w:r>
            <w:proofErr w:type="spellStart"/>
            <w:r>
              <w:rPr>
                <w:rFonts w:ascii="Times New Roman" w:eastAsia="Times New Roman" w:hAnsi="Times New Roman" w:cs="Times New Roman"/>
                <w:sz w:val="16"/>
                <w:szCs w:val="16"/>
                <w:highlight w:val="white"/>
              </w:rPr>
              <w:t>Draenei</w:t>
            </w:r>
            <w:proofErr w:type="spellEnd"/>
            <w:r>
              <w:rPr>
                <w:rFonts w:ascii="Times New Roman" w:eastAsia="Times New Roman" w:hAnsi="Times New Roman" w:cs="Times New Roman"/>
                <w:sz w:val="16"/>
                <w:szCs w:val="16"/>
                <w:highlight w:val="white"/>
              </w:rPr>
              <w:t xml:space="preserve"> race in World of Warcraft (WoW) and IGD behaviors. Overall, virtual demographics (e.g., selecting the </w:t>
            </w:r>
            <w:proofErr w:type="spellStart"/>
            <w:r>
              <w:rPr>
                <w:rFonts w:ascii="Times New Roman" w:eastAsia="Times New Roman" w:hAnsi="Times New Roman" w:cs="Times New Roman"/>
                <w:sz w:val="16"/>
                <w:szCs w:val="16"/>
                <w:highlight w:val="white"/>
              </w:rPr>
              <w:t>Draenei</w:t>
            </w:r>
            <w:proofErr w:type="spellEnd"/>
            <w:r>
              <w:rPr>
                <w:rFonts w:ascii="Times New Roman" w:eastAsia="Times New Roman" w:hAnsi="Times New Roman" w:cs="Times New Roman"/>
                <w:sz w:val="16"/>
                <w:szCs w:val="16"/>
                <w:highlight w:val="white"/>
              </w:rPr>
              <w:t xml:space="preserve"> race) and their interplay with compensation should be </w:t>
            </w:r>
            <w:proofErr w:type="gramStart"/>
            <w:r>
              <w:rPr>
                <w:rFonts w:ascii="Times New Roman" w:eastAsia="Times New Roman" w:hAnsi="Times New Roman" w:cs="Times New Roman"/>
                <w:sz w:val="16"/>
                <w:szCs w:val="16"/>
                <w:highlight w:val="white"/>
              </w:rPr>
              <w:t>taken into account</w:t>
            </w:r>
            <w:proofErr w:type="gramEnd"/>
            <w:r>
              <w:rPr>
                <w:rFonts w:ascii="Times New Roman" w:eastAsia="Times New Roman" w:hAnsi="Times New Roman" w:cs="Times New Roman"/>
                <w:sz w:val="16"/>
                <w:szCs w:val="16"/>
                <w:highlight w:val="white"/>
              </w:rPr>
              <w:t xml:space="preserve"> when devising prevention and intervention initiatives, targeting excessive gaming that involves avatar use.</w:t>
            </w:r>
          </w:p>
        </w:tc>
      </w:tr>
      <w:tr w:rsidR="00B862B4" w14:paraId="6D134FAA" w14:textId="77777777" w:rsidTr="003055DF">
        <w:trPr>
          <w:trHeight w:val="1144"/>
        </w:trPr>
        <w:tc>
          <w:tcPr>
            <w:tcW w:w="1125" w:type="dxa"/>
            <w:tcBorders>
              <w:top w:val="nil"/>
              <w:left w:val="nil"/>
              <w:right w:val="nil"/>
            </w:tcBorders>
            <w:tcMar>
              <w:top w:w="40" w:type="dxa"/>
              <w:left w:w="40" w:type="dxa"/>
              <w:bottom w:w="40" w:type="dxa"/>
              <w:right w:w="40" w:type="dxa"/>
            </w:tcMar>
          </w:tcPr>
          <w:p w14:paraId="4218E19A"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Na et al. (2017)</w:t>
            </w:r>
          </w:p>
        </w:tc>
        <w:tc>
          <w:tcPr>
            <w:tcW w:w="1215" w:type="dxa"/>
            <w:shd w:val="clear" w:color="auto" w:fill="auto"/>
            <w:tcMar>
              <w:top w:w="100" w:type="dxa"/>
              <w:left w:w="100" w:type="dxa"/>
              <w:bottom w:w="100" w:type="dxa"/>
              <w:right w:w="100" w:type="dxa"/>
            </w:tcMar>
          </w:tcPr>
          <w:p w14:paraId="4F93A7D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E9B97B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2923, of which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837 were females.</w:t>
            </w:r>
          </w:p>
        </w:tc>
        <w:tc>
          <w:tcPr>
            <w:tcW w:w="1290" w:type="dxa"/>
            <w:shd w:val="clear" w:color="auto" w:fill="auto"/>
            <w:tcMar>
              <w:top w:w="100" w:type="dxa"/>
              <w:left w:w="100" w:type="dxa"/>
              <w:bottom w:w="100" w:type="dxa"/>
              <w:right w:w="100" w:type="dxa"/>
            </w:tcMar>
          </w:tcPr>
          <w:p w14:paraId="6218E7F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708761C4" w14:textId="77777777" w:rsidR="00B862B4" w:rsidRPr="00F818C8" w:rsidRDefault="00B862B4" w:rsidP="003055DF">
            <w:pPr>
              <w:widowControl w:val="0"/>
              <w:spacing w:line="240" w:lineRule="auto"/>
              <w:rPr>
                <w:rFonts w:ascii="Times New Roman" w:eastAsia="Times New Roman" w:hAnsi="Times New Roman" w:cs="Times New Roman"/>
                <w:sz w:val="16"/>
                <w:szCs w:val="16"/>
                <w:lang w:val="fr-FR"/>
              </w:rPr>
            </w:pPr>
            <w:r w:rsidRPr="00F818C8">
              <w:rPr>
                <w:rFonts w:ascii="Times New Roman" w:eastAsia="Times New Roman" w:hAnsi="Times New Roman" w:cs="Times New Roman"/>
                <w:sz w:val="16"/>
                <w:szCs w:val="16"/>
                <w:lang w:val="fr-FR"/>
              </w:rPr>
              <w:t>Genres (MMORPG, FPS, RTS, sports)</w:t>
            </w:r>
          </w:p>
        </w:tc>
        <w:tc>
          <w:tcPr>
            <w:tcW w:w="4590" w:type="dxa"/>
            <w:shd w:val="clear" w:color="auto" w:fill="auto"/>
            <w:tcMar>
              <w:top w:w="100" w:type="dxa"/>
              <w:left w:w="100" w:type="dxa"/>
              <w:bottom w:w="100" w:type="dxa"/>
              <w:right w:w="100" w:type="dxa"/>
            </w:tcMar>
          </w:tcPr>
          <w:p w14:paraId="14BE8C2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Participants with problematic internet game use were categorized most as MMORPG users, then RTS, FPS, and sports game users. FPS was played most by participants with IGD symptoms, followed by MMORPG, RTS, and sports game users.  Overall, the RTS players spent the most time playing. </w:t>
            </w:r>
          </w:p>
        </w:tc>
      </w:tr>
      <w:tr w:rsidR="00B862B4" w14:paraId="04A8F3F3" w14:textId="77777777" w:rsidTr="003055DF">
        <w:tc>
          <w:tcPr>
            <w:tcW w:w="1125" w:type="dxa"/>
            <w:tcBorders>
              <w:top w:val="nil"/>
            </w:tcBorders>
            <w:tcMar>
              <w:top w:w="40" w:type="dxa"/>
              <w:left w:w="40" w:type="dxa"/>
              <w:bottom w:w="40" w:type="dxa"/>
              <w:right w:w="40" w:type="dxa"/>
            </w:tcMar>
          </w:tcPr>
          <w:p w14:paraId="18E42000" w14:textId="77777777" w:rsidR="00B862B4" w:rsidRDefault="00B862B4" w:rsidP="003055DF">
            <w:pPr>
              <w:widowControl w:val="0"/>
              <w:rPr>
                <w:sz w:val="20"/>
                <w:szCs w:val="20"/>
              </w:rPr>
            </w:pPr>
            <w:r>
              <w:rPr>
                <w:rFonts w:ascii="Times New Roman" w:eastAsia="Times New Roman" w:hAnsi="Times New Roman" w:cs="Times New Roman"/>
                <w:sz w:val="16"/>
                <w:szCs w:val="16"/>
              </w:rPr>
              <w:t>Ohno (2021)</w:t>
            </w:r>
          </w:p>
        </w:tc>
        <w:tc>
          <w:tcPr>
            <w:tcW w:w="1215" w:type="dxa"/>
            <w:shd w:val="clear" w:color="auto" w:fill="auto"/>
            <w:tcMar>
              <w:top w:w="100" w:type="dxa"/>
              <w:left w:w="100" w:type="dxa"/>
              <w:bottom w:w="100" w:type="dxa"/>
              <w:right w:w="100" w:type="dxa"/>
            </w:tcMar>
          </w:tcPr>
          <w:p w14:paraId="02AC619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2A27A8A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Valid responses from 374 high school students (aged 16.5 years ± 1.1) and 500 university students (aged 20.0 years ± 1.3) were taken. The female-to-male ratio was 51.3:48.7.</w:t>
            </w:r>
          </w:p>
        </w:tc>
        <w:tc>
          <w:tcPr>
            <w:tcW w:w="1290" w:type="dxa"/>
            <w:shd w:val="clear" w:color="auto" w:fill="auto"/>
            <w:tcMar>
              <w:top w:w="100" w:type="dxa"/>
              <w:left w:w="100" w:type="dxa"/>
              <w:bottom w:w="100" w:type="dxa"/>
              <w:right w:w="100" w:type="dxa"/>
            </w:tcMar>
          </w:tcPr>
          <w:p w14:paraId="4E7EED1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765B2A1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Genres (</w:t>
            </w:r>
            <w:r>
              <w:rPr>
                <w:rFonts w:ascii="Times New Roman" w:eastAsia="Times New Roman" w:hAnsi="Times New Roman" w:cs="Times New Roman"/>
                <w:sz w:val="17"/>
                <w:szCs w:val="17"/>
                <w:highlight w:val="white"/>
              </w:rPr>
              <w:t>Battle Royale, Shooting, Trading Cards, Action)</w:t>
            </w:r>
          </w:p>
        </w:tc>
        <w:tc>
          <w:tcPr>
            <w:tcW w:w="4590" w:type="dxa"/>
            <w:shd w:val="clear" w:color="auto" w:fill="auto"/>
            <w:tcMar>
              <w:top w:w="100" w:type="dxa"/>
              <w:left w:w="100" w:type="dxa"/>
              <w:bottom w:w="100" w:type="dxa"/>
              <w:right w:w="100" w:type="dxa"/>
            </w:tcMar>
          </w:tcPr>
          <w:p w14:paraId="226B2CF8"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 xml:space="preserve">Battle royale, shooting, trading cards, and action games were significantly correlated with online gaming addiction. In the path analysis, only battle royale and action showed significant association with gaming addiction. </w:t>
            </w:r>
          </w:p>
        </w:tc>
      </w:tr>
      <w:tr w:rsidR="00B862B4" w14:paraId="377BD951" w14:textId="77777777" w:rsidTr="003055DF">
        <w:tc>
          <w:tcPr>
            <w:tcW w:w="1125" w:type="dxa"/>
            <w:tcBorders>
              <w:left w:val="nil"/>
              <w:bottom w:val="nil"/>
              <w:right w:val="nil"/>
            </w:tcBorders>
            <w:tcMar>
              <w:top w:w="40" w:type="dxa"/>
              <w:left w:w="40" w:type="dxa"/>
              <w:bottom w:w="40" w:type="dxa"/>
              <w:right w:w="40" w:type="dxa"/>
            </w:tcMar>
          </w:tcPr>
          <w:p w14:paraId="60A35A30"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Oflu</w:t>
            </w:r>
            <w:proofErr w:type="spellEnd"/>
            <w:r>
              <w:rPr>
                <w:rFonts w:ascii="Times New Roman" w:eastAsia="Times New Roman" w:hAnsi="Times New Roman" w:cs="Times New Roman"/>
                <w:sz w:val="16"/>
                <w:szCs w:val="16"/>
              </w:rPr>
              <w:t xml:space="preserve"> &amp; Yalcin (2019)</w:t>
            </w:r>
          </w:p>
        </w:tc>
        <w:tc>
          <w:tcPr>
            <w:tcW w:w="1215" w:type="dxa"/>
            <w:shd w:val="clear" w:color="auto" w:fill="auto"/>
            <w:tcMar>
              <w:top w:w="100" w:type="dxa"/>
              <w:left w:w="100" w:type="dxa"/>
              <w:bottom w:w="100" w:type="dxa"/>
              <w:right w:w="100" w:type="dxa"/>
            </w:tcMar>
          </w:tcPr>
          <w:p w14:paraId="75C7C40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0BB7D2D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 total of 297 healthy students were included in the study and 245 (82.5 %) of them reported as video game players.</w:t>
            </w:r>
          </w:p>
        </w:tc>
        <w:tc>
          <w:tcPr>
            <w:tcW w:w="1290" w:type="dxa"/>
            <w:shd w:val="clear" w:color="auto" w:fill="auto"/>
            <w:tcMar>
              <w:top w:w="100" w:type="dxa"/>
              <w:left w:w="100" w:type="dxa"/>
              <w:bottom w:w="100" w:type="dxa"/>
              <w:right w:w="100" w:type="dxa"/>
            </w:tcMar>
          </w:tcPr>
          <w:p w14:paraId="261FCEC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2D4C983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Multiplayer, Platform, Genres (racing, casual, action-adventure, MMORPG, sports, strategy) </w:t>
            </w:r>
          </w:p>
        </w:tc>
        <w:tc>
          <w:tcPr>
            <w:tcW w:w="4590" w:type="dxa"/>
            <w:shd w:val="clear" w:color="auto" w:fill="auto"/>
            <w:tcMar>
              <w:top w:w="100" w:type="dxa"/>
              <w:left w:w="100" w:type="dxa"/>
              <w:bottom w:w="100" w:type="dxa"/>
              <w:right w:w="100" w:type="dxa"/>
            </w:tcMar>
          </w:tcPr>
          <w:p w14:paraId="6E791DD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Students playing game console and online games, students who played multiplayer, and war and strategy games, all had higher scores on the addiction scale than their peers. Those students who played more than 4 hours on weekdays and weekends had higher addiction scores than their peers. Students who played web-based games, as well as mind and casual games, had significantly lower scores in addiction.</w:t>
            </w:r>
          </w:p>
        </w:tc>
      </w:tr>
      <w:tr w:rsidR="00B862B4" w14:paraId="4EFCAF86" w14:textId="77777777" w:rsidTr="003055DF">
        <w:tc>
          <w:tcPr>
            <w:tcW w:w="1125" w:type="dxa"/>
            <w:tcBorders>
              <w:top w:val="nil"/>
              <w:left w:val="nil"/>
              <w:bottom w:val="nil"/>
              <w:right w:val="nil"/>
            </w:tcBorders>
            <w:tcMar>
              <w:top w:w="40" w:type="dxa"/>
              <w:left w:w="40" w:type="dxa"/>
              <w:bottom w:w="40" w:type="dxa"/>
              <w:right w:w="40" w:type="dxa"/>
            </w:tcMar>
          </w:tcPr>
          <w:p w14:paraId="254CC215"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Ream et al. (2013)</w:t>
            </w:r>
          </w:p>
        </w:tc>
        <w:tc>
          <w:tcPr>
            <w:tcW w:w="1215" w:type="dxa"/>
            <w:shd w:val="clear" w:color="auto" w:fill="auto"/>
            <w:tcMar>
              <w:top w:w="100" w:type="dxa"/>
              <w:left w:w="100" w:type="dxa"/>
              <w:bottom w:w="100" w:type="dxa"/>
              <w:right w:w="100" w:type="dxa"/>
            </w:tcMar>
          </w:tcPr>
          <w:p w14:paraId="0CBE685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7FB47FE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692. </w:t>
            </w:r>
            <w:r>
              <w:rPr>
                <w:rFonts w:ascii="Times New Roman" w:eastAsia="Times New Roman" w:hAnsi="Times New Roman" w:cs="Times New Roman"/>
                <w:sz w:val="16"/>
                <w:szCs w:val="16"/>
                <w:highlight w:val="white"/>
              </w:rPr>
              <w:t>Participants were emerging/young adults ages 18–29 recruited in New York City.</w:t>
            </w:r>
          </w:p>
        </w:tc>
        <w:tc>
          <w:tcPr>
            <w:tcW w:w="1290" w:type="dxa"/>
            <w:shd w:val="clear" w:color="auto" w:fill="auto"/>
            <w:tcMar>
              <w:top w:w="100" w:type="dxa"/>
              <w:left w:w="100" w:type="dxa"/>
              <w:bottom w:w="100" w:type="dxa"/>
              <w:right w:w="100" w:type="dxa"/>
            </w:tcMar>
          </w:tcPr>
          <w:p w14:paraId="4A9ACB2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Engagement</w:t>
            </w:r>
          </w:p>
        </w:tc>
        <w:tc>
          <w:tcPr>
            <w:tcW w:w="1515" w:type="dxa"/>
            <w:shd w:val="clear" w:color="auto" w:fill="auto"/>
            <w:tcMar>
              <w:top w:w="100" w:type="dxa"/>
              <w:left w:w="100" w:type="dxa"/>
              <w:bottom w:w="100" w:type="dxa"/>
              <w:right w:w="100" w:type="dxa"/>
            </w:tcMar>
          </w:tcPr>
          <w:p w14:paraId="2F6F9C8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General social features, genres (FPS, MMORPG, Sports, Puzzle, Strategy)</w:t>
            </w:r>
          </w:p>
        </w:tc>
        <w:tc>
          <w:tcPr>
            <w:tcW w:w="4590" w:type="dxa"/>
            <w:shd w:val="clear" w:color="auto" w:fill="auto"/>
            <w:tcMar>
              <w:top w:w="100" w:type="dxa"/>
              <w:left w:w="100" w:type="dxa"/>
              <w:bottom w:w="100" w:type="dxa"/>
              <w:right w:w="100" w:type="dxa"/>
            </w:tcMar>
          </w:tcPr>
          <w:p w14:paraId="67D41A2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All genres analyzed showed some degree of problem play, from highest to lowest: MMORPG, Other role playing, FPS, action adventure, RTS, sports, fighting, driving, puzzle, platformer, other. MMORPG problem play was higher among older players, while FPS was preferred by younger players.</w:t>
            </w:r>
          </w:p>
        </w:tc>
      </w:tr>
      <w:tr w:rsidR="00B862B4" w14:paraId="715DDE88" w14:textId="77777777" w:rsidTr="003055DF">
        <w:tc>
          <w:tcPr>
            <w:tcW w:w="1125" w:type="dxa"/>
            <w:tcBorders>
              <w:top w:val="nil"/>
              <w:left w:val="nil"/>
              <w:right w:val="nil"/>
            </w:tcBorders>
            <w:tcMar>
              <w:top w:w="40" w:type="dxa"/>
              <w:left w:w="40" w:type="dxa"/>
              <w:bottom w:w="40" w:type="dxa"/>
              <w:right w:w="40" w:type="dxa"/>
            </w:tcMar>
          </w:tcPr>
          <w:p w14:paraId="4EE68198"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Sioni</w:t>
            </w:r>
            <w:proofErr w:type="spellEnd"/>
            <w:r>
              <w:rPr>
                <w:rFonts w:ascii="Times New Roman" w:eastAsia="Times New Roman" w:hAnsi="Times New Roman" w:cs="Times New Roman"/>
                <w:sz w:val="16"/>
                <w:szCs w:val="16"/>
              </w:rPr>
              <w:t xml:space="preserve"> et al. (2017)</w:t>
            </w:r>
          </w:p>
        </w:tc>
        <w:tc>
          <w:tcPr>
            <w:tcW w:w="1215" w:type="dxa"/>
            <w:shd w:val="clear" w:color="auto" w:fill="auto"/>
            <w:tcMar>
              <w:top w:w="100" w:type="dxa"/>
              <w:left w:w="100" w:type="dxa"/>
              <w:bottom w:w="100" w:type="dxa"/>
              <w:right w:w="100" w:type="dxa"/>
            </w:tcMar>
          </w:tcPr>
          <w:p w14:paraId="7C067CD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1FF0D93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394, of which </w:t>
            </w:r>
            <w:r>
              <w:rPr>
                <w:rFonts w:ascii="Times New Roman" w:eastAsia="Times New Roman" w:hAnsi="Times New Roman" w:cs="Times New Roman"/>
                <w:sz w:val="16"/>
                <w:szCs w:val="16"/>
                <w:highlight w:val="white"/>
              </w:rPr>
              <w:t>197 (50%) were male.</w:t>
            </w:r>
          </w:p>
        </w:tc>
        <w:tc>
          <w:tcPr>
            <w:tcW w:w="1290" w:type="dxa"/>
            <w:shd w:val="clear" w:color="auto" w:fill="auto"/>
            <w:tcMar>
              <w:top w:w="100" w:type="dxa"/>
              <w:left w:w="100" w:type="dxa"/>
              <w:bottom w:w="100" w:type="dxa"/>
              <w:right w:w="100" w:type="dxa"/>
            </w:tcMar>
          </w:tcPr>
          <w:p w14:paraId="75C8FB8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3A67266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Avatar Identification </w:t>
            </w:r>
          </w:p>
        </w:tc>
        <w:tc>
          <w:tcPr>
            <w:tcW w:w="4590" w:type="dxa"/>
            <w:shd w:val="clear" w:color="auto" w:fill="auto"/>
            <w:tcMar>
              <w:top w:w="100" w:type="dxa"/>
              <w:left w:w="100" w:type="dxa"/>
              <w:bottom w:w="100" w:type="dxa"/>
              <w:right w:w="100" w:type="dxa"/>
            </w:tcMar>
          </w:tcPr>
          <w:p w14:paraId="22389FF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There was a positive relationship between social phobia scores and IGD symptoms is partially mediated by avatar identification. </w:t>
            </w:r>
          </w:p>
        </w:tc>
      </w:tr>
      <w:tr w:rsidR="00B862B4" w14:paraId="180FA621" w14:textId="77777777" w:rsidTr="003055DF">
        <w:tc>
          <w:tcPr>
            <w:tcW w:w="1125" w:type="dxa"/>
            <w:tcBorders>
              <w:top w:val="nil"/>
            </w:tcBorders>
            <w:tcMar>
              <w:top w:w="40" w:type="dxa"/>
              <w:left w:w="40" w:type="dxa"/>
              <w:bottom w:w="40" w:type="dxa"/>
              <w:right w:w="40" w:type="dxa"/>
            </w:tcMar>
          </w:tcPr>
          <w:p w14:paraId="392F07C2"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Siste</w:t>
            </w:r>
            <w:proofErr w:type="spellEnd"/>
            <w:r>
              <w:rPr>
                <w:rFonts w:ascii="Times New Roman" w:eastAsia="Times New Roman" w:hAnsi="Times New Roman" w:cs="Times New Roman"/>
                <w:sz w:val="16"/>
                <w:szCs w:val="16"/>
              </w:rPr>
              <w:t xml:space="preserve"> et al. (2021)</w:t>
            </w:r>
          </w:p>
        </w:tc>
        <w:tc>
          <w:tcPr>
            <w:tcW w:w="1215" w:type="dxa"/>
            <w:shd w:val="clear" w:color="auto" w:fill="auto"/>
            <w:tcMar>
              <w:top w:w="100" w:type="dxa"/>
              <w:left w:w="100" w:type="dxa"/>
              <w:bottom w:w="100" w:type="dxa"/>
              <w:right w:w="100" w:type="dxa"/>
            </w:tcMar>
          </w:tcPr>
          <w:p w14:paraId="5C497D2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0A536604" w14:textId="77777777" w:rsidR="00B862B4" w:rsidRDefault="00B862B4" w:rsidP="003055DF">
            <w:pPr>
              <w:widowControl w:val="0"/>
              <w:spacing w:line="240" w:lineRule="auto"/>
              <w:rPr>
                <w:rFonts w:ascii="Times New Roman" w:eastAsia="Times New Roman" w:hAnsi="Times New Roman" w:cs="Times New Roman"/>
                <w:sz w:val="17"/>
                <w:szCs w:val="17"/>
                <w:highlight w:val="white"/>
              </w:rPr>
            </w:pPr>
            <w:r>
              <w:rPr>
                <w:rFonts w:ascii="Times New Roman" w:eastAsia="Times New Roman" w:hAnsi="Times New Roman" w:cs="Times New Roman"/>
                <w:sz w:val="17"/>
                <w:szCs w:val="17"/>
                <w:highlight w:val="white"/>
              </w:rPr>
              <w:t>In total, there were 639 respondents (mean age 19.9 years), of</w:t>
            </w:r>
          </w:p>
          <w:p w14:paraId="3C7D4BF2" w14:textId="77777777" w:rsidR="00B862B4" w:rsidRDefault="00B862B4" w:rsidP="003055DF">
            <w:pPr>
              <w:widowControl w:val="0"/>
              <w:spacing w:line="240" w:lineRule="auto"/>
              <w:rPr>
                <w:rFonts w:ascii="Times New Roman" w:eastAsia="Times New Roman" w:hAnsi="Times New Roman" w:cs="Times New Roman"/>
                <w:sz w:val="17"/>
                <w:szCs w:val="17"/>
                <w:highlight w:val="white"/>
              </w:rPr>
            </w:pPr>
            <w:r>
              <w:rPr>
                <w:rFonts w:ascii="Times New Roman" w:eastAsia="Times New Roman" w:hAnsi="Times New Roman" w:cs="Times New Roman"/>
                <w:sz w:val="17"/>
                <w:szCs w:val="17"/>
                <w:highlight w:val="white"/>
              </w:rPr>
              <w:t>whom 59.6% were late adolescents (381/639); 64.2% were</w:t>
            </w:r>
          </w:p>
          <w:p w14:paraId="2DD7480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female.</w:t>
            </w:r>
          </w:p>
        </w:tc>
        <w:tc>
          <w:tcPr>
            <w:tcW w:w="1290" w:type="dxa"/>
            <w:shd w:val="clear" w:color="auto" w:fill="auto"/>
            <w:tcMar>
              <w:top w:w="100" w:type="dxa"/>
              <w:left w:w="100" w:type="dxa"/>
              <w:bottom w:w="100" w:type="dxa"/>
              <w:right w:w="100" w:type="dxa"/>
            </w:tcMar>
          </w:tcPr>
          <w:p w14:paraId="36F1ED9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7A3549B1"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Platform</w:t>
            </w:r>
          </w:p>
        </w:tc>
        <w:tc>
          <w:tcPr>
            <w:tcW w:w="4590" w:type="dxa"/>
            <w:shd w:val="clear" w:color="auto" w:fill="auto"/>
            <w:tcMar>
              <w:top w:w="100" w:type="dxa"/>
              <w:left w:w="100" w:type="dxa"/>
              <w:bottom w:w="100" w:type="dxa"/>
              <w:right w:w="100" w:type="dxa"/>
            </w:tcMar>
          </w:tcPr>
          <w:p w14:paraId="69590B34"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 xml:space="preserve">Attachment to gaming community was significantly related to IGD. Device of choice had no significant relationship to IGD, but the most common device used by all participants was smartphone. </w:t>
            </w:r>
          </w:p>
        </w:tc>
      </w:tr>
      <w:tr w:rsidR="00B862B4" w14:paraId="5934EE5C" w14:textId="77777777" w:rsidTr="003055DF">
        <w:tc>
          <w:tcPr>
            <w:tcW w:w="1125" w:type="dxa"/>
            <w:tcBorders>
              <w:left w:val="nil"/>
              <w:bottom w:val="nil"/>
              <w:right w:val="nil"/>
            </w:tcBorders>
            <w:tcMar>
              <w:top w:w="40" w:type="dxa"/>
              <w:left w:w="40" w:type="dxa"/>
              <w:bottom w:w="40" w:type="dxa"/>
              <w:right w:w="40" w:type="dxa"/>
            </w:tcMar>
          </w:tcPr>
          <w:p w14:paraId="2B650A78"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Stavropoulos et al. (2019)</w:t>
            </w:r>
          </w:p>
        </w:tc>
        <w:tc>
          <w:tcPr>
            <w:tcW w:w="1215" w:type="dxa"/>
            <w:shd w:val="clear" w:color="auto" w:fill="auto"/>
            <w:tcMar>
              <w:top w:w="100" w:type="dxa"/>
              <w:left w:w="100" w:type="dxa"/>
              <w:bottom w:w="100" w:type="dxa"/>
              <w:right w:w="100" w:type="dxa"/>
            </w:tcMar>
          </w:tcPr>
          <w:p w14:paraId="5E4F663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 / Longitudinal</w:t>
            </w:r>
          </w:p>
        </w:tc>
        <w:tc>
          <w:tcPr>
            <w:tcW w:w="2955" w:type="dxa"/>
            <w:shd w:val="clear" w:color="auto" w:fill="auto"/>
            <w:tcMar>
              <w:top w:w="100" w:type="dxa"/>
              <w:left w:w="100" w:type="dxa"/>
              <w:bottom w:w="100" w:type="dxa"/>
              <w:right w:w="100" w:type="dxa"/>
            </w:tcMar>
          </w:tcPr>
          <w:p w14:paraId="27108CB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126, of which </w:t>
            </w:r>
            <w:r>
              <w:rPr>
                <w:rFonts w:ascii="Times New Roman" w:eastAsia="Times New Roman" w:hAnsi="Times New Roman" w:cs="Times New Roman"/>
                <w:i/>
                <w:sz w:val="16"/>
                <w:szCs w:val="16"/>
              </w:rPr>
              <w:t xml:space="preserve">n </w:t>
            </w:r>
            <w:r>
              <w:rPr>
                <w:rFonts w:ascii="Times New Roman" w:eastAsia="Times New Roman" w:hAnsi="Times New Roman" w:cs="Times New Roman"/>
                <w:sz w:val="16"/>
                <w:szCs w:val="16"/>
              </w:rPr>
              <w:t>= 64 were assessed online.</w:t>
            </w:r>
          </w:p>
        </w:tc>
        <w:tc>
          <w:tcPr>
            <w:tcW w:w="1290" w:type="dxa"/>
            <w:shd w:val="clear" w:color="auto" w:fill="auto"/>
            <w:tcMar>
              <w:top w:w="100" w:type="dxa"/>
              <w:left w:w="100" w:type="dxa"/>
              <w:bottom w:w="100" w:type="dxa"/>
              <w:right w:w="100" w:type="dxa"/>
            </w:tcMar>
          </w:tcPr>
          <w:p w14:paraId="40F4232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70F63A2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Avatar identification</w:t>
            </w:r>
          </w:p>
        </w:tc>
        <w:tc>
          <w:tcPr>
            <w:tcW w:w="4590" w:type="dxa"/>
            <w:shd w:val="clear" w:color="auto" w:fill="auto"/>
            <w:tcMar>
              <w:top w:w="100" w:type="dxa"/>
              <w:left w:w="100" w:type="dxa"/>
              <w:bottom w:w="100" w:type="dxa"/>
              <w:right w:w="100" w:type="dxa"/>
            </w:tcMar>
          </w:tcPr>
          <w:p w14:paraId="3120FA7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This study assessed the likely risk effects of different aspects of self-presence in relation to the body, emotional, and identity gamer-avatar relationship in the context of IGD. The results indicate that the body-body aspect of the user-avatar association has a stronger correlation with IGD than emotional and identity. </w:t>
            </w:r>
          </w:p>
        </w:tc>
      </w:tr>
      <w:tr w:rsidR="00B862B4" w14:paraId="7F43BA71" w14:textId="77777777" w:rsidTr="003055DF">
        <w:tc>
          <w:tcPr>
            <w:tcW w:w="1125" w:type="dxa"/>
            <w:tcBorders>
              <w:top w:val="nil"/>
              <w:left w:val="nil"/>
              <w:bottom w:val="nil"/>
              <w:right w:val="nil"/>
            </w:tcBorders>
            <w:tcMar>
              <w:top w:w="40" w:type="dxa"/>
              <w:left w:w="40" w:type="dxa"/>
              <w:bottom w:w="40" w:type="dxa"/>
              <w:right w:w="40" w:type="dxa"/>
            </w:tcMar>
          </w:tcPr>
          <w:p w14:paraId="5EA91E6E"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Stavropoulos et al. (2020)</w:t>
            </w:r>
          </w:p>
        </w:tc>
        <w:tc>
          <w:tcPr>
            <w:tcW w:w="1215" w:type="dxa"/>
            <w:shd w:val="clear" w:color="auto" w:fill="auto"/>
            <w:tcMar>
              <w:top w:w="100" w:type="dxa"/>
              <w:left w:w="100" w:type="dxa"/>
              <w:bottom w:w="100" w:type="dxa"/>
              <w:right w:w="100" w:type="dxa"/>
            </w:tcMar>
          </w:tcPr>
          <w:p w14:paraId="1901481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13763E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 xml:space="preserve">N </w:t>
            </w:r>
            <w:r>
              <w:rPr>
                <w:rFonts w:ascii="Times New Roman" w:eastAsia="Times New Roman" w:hAnsi="Times New Roman" w:cs="Times New Roman"/>
                <w:sz w:val="16"/>
                <w:szCs w:val="16"/>
              </w:rPr>
              <w:t xml:space="preserve">= 1022. </w:t>
            </w:r>
            <w:r>
              <w:rPr>
                <w:rFonts w:ascii="Times New Roman" w:eastAsia="Times New Roman" w:hAnsi="Times New Roman" w:cs="Times New Roman"/>
                <w:sz w:val="16"/>
                <w:szCs w:val="16"/>
                <w:highlight w:val="white"/>
              </w:rPr>
              <w:t>The mean age of participants was 28.60 years, (</w:t>
            </w:r>
            <w:r>
              <w:rPr>
                <w:rFonts w:ascii="Times New Roman" w:eastAsia="Times New Roman" w:hAnsi="Times New Roman" w:cs="Times New Roman"/>
                <w:i/>
                <w:sz w:val="16"/>
                <w:szCs w:val="16"/>
                <w:highlight w:val="white"/>
              </w:rPr>
              <w:t>SD</w:t>
            </w:r>
            <w:r>
              <w:rPr>
                <w:rFonts w:ascii="Times New Roman" w:eastAsia="Times New Roman" w:hAnsi="Times New Roman" w:cs="Times New Roman"/>
                <w:sz w:val="16"/>
                <w:szCs w:val="16"/>
                <w:highlight w:val="white"/>
              </w:rPr>
              <w:t xml:space="preserve"> = 9.90).</w:t>
            </w:r>
          </w:p>
        </w:tc>
        <w:tc>
          <w:tcPr>
            <w:tcW w:w="1290" w:type="dxa"/>
            <w:shd w:val="clear" w:color="auto" w:fill="auto"/>
            <w:tcMar>
              <w:top w:w="100" w:type="dxa"/>
              <w:left w:w="100" w:type="dxa"/>
              <w:bottom w:w="100" w:type="dxa"/>
              <w:right w:w="100" w:type="dxa"/>
            </w:tcMar>
          </w:tcPr>
          <w:p w14:paraId="2501AFE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4CC5EFD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Avatar presence</w:t>
            </w:r>
          </w:p>
        </w:tc>
        <w:tc>
          <w:tcPr>
            <w:tcW w:w="4590" w:type="dxa"/>
            <w:shd w:val="clear" w:color="auto" w:fill="auto"/>
            <w:tcMar>
              <w:top w:w="100" w:type="dxa"/>
              <w:left w:w="100" w:type="dxa"/>
              <w:bottom w:w="100" w:type="dxa"/>
              <w:right w:w="100" w:type="dxa"/>
            </w:tcMar>
          </w:tcPr>
          <w:p w14:paraId="608F949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The researchers identified three groups of proteus effect classes which included "Non-Influenced Gamers," "Perception-Cognition Influenced Gamers," and "Emotion and Behavior Influenced Gamers." Each group had a different level of avatar identification and a different level of gaming disorder manifestations.</w:t>
            </w:r>
          </w:p>
        </w:tc>
      </w:tr>
      <w:tr w:rsidR="00B862B4" w14:paraId="6CA8D94C" w14:textId="77777777" w:rsidTr="003055DF">
        <w:tc>
          <w:tcPr>
            <w:tcW w:w="1125" w:type="dxa"/>
            <w:tcBorders>
              <w:top w:val="nil"/>
              <w:left w:val="nil"/>
              <w:bottom w:val="nil"/>
              <w:right w:val="nil"/>
            </w:tcBorders>
            <w:tcMar>
              <w:top w:w="40" w:type="dxa"/>
              <w:left w:w="40" w:type="dxa"/>
              <w:bottom w:w="40" w:type="dxa"/>
              <w:right w:w="40" w:type="dxa"/>
            </w:tcMar>
          </w:tcPr>
          <w:p w14:paraId="64548898"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Stavropoulos et al. (2020)</w:t>
            </w:r>
          </w:p>
        </w:tc>
        <w:tc>
          <w:tcPr>
            <w:tcW w:w="1215" w:type="dxa"/>
            <w:shd w:val="clear" w:color="auto" w:fill="auto"/>
            <w:tcMar>
              <w:top w:w="100" w:type="dxa"/>
              <w:left w:w="100" w:type="dxa"/>
              <w:bottom w:w="100" w:type="dxa"/>
              <w:right w:w="100" w:type="dxa"/>
            </w:tcMar>
          </w:tcPr>
          <w:p w14:paraId="1A091FB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B116F1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1022 WoW gamers (mean age = 28.55 years, </w:t>
            </w:r>
            <w:r>
              <w:rPr>
                <w:rFonts w:ascii="Times New Roman" w:eastAsia="Times New Roman" w:hAnsi="Times New Roman" w:cs="Times New Roman"/>
                <w:i/>
                <w:sz w:val="16"/>
                <w:szCs w:val="16"/>
              </w:rPr>
              <w:t>SD</w:t>
            </w:r>
            <w:r>
              <w:rPr>
                <w:rFonts w:ascii="Times New Roman" w:eastAsia="Times New Roman" w:hAnsi="Times New Roman" w:cs="Times New Roman"/>
                <w:sz w:val="16"/>
                <w:szCs w:val="16"/>
              </w:rPr>
              <w:t xml:space="preserve"> = 9.90 were recruited</w:t>
            </w:r>
          </w:p>
        </w:tc>
        <w:tc>
          <w:tcPr>
            <w:tcW w:w="1290" w:type="dxa"/>
            <w:shd w:val="clear" w:color="auto" w:fill="auto"/>
            <w:tcMar>
              <w:top w:w="100" w:type="dxa"/>
              <w:left w:w="100" w:type="dxa"/>
              <w:bottom w:w="100" w:type="dxa"/>
              <w:right w:w="100" w:type="dxa"/>
            </w:tcMar>
          </w:tcPr>
          <w:p w14:paraId="16DEA7A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w:t>
            </w:r>
          </w:p>
        </w:tc>
        <w:tc>
          <w:tcPr>
            <w:tcW w:w="1515" w:type="dxa"/>
            <w:shd w:val="clear" w:color="auto" w:fill="auto"/>
            <w:tcMar>
              <w:top w:w="100" w:type="dxa"/>
              <w:left w:w="100" w:type="dxa"/>
              <w:bottom w:w="100" w:type="dxa"/>
              <w:right w:w="100" w:type="dxa"/>
            </w:tcMar>
          </w:tcPr>
          <w:p w14:paraId="76D1BE3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Avatar Presence</w:t>
            </w:r>
          </w:p>
        </w:tc>
        <w:tc>
          <w:tcPr>
            <w:tcW w:w="4590" w:type="dxa"/>
            <w:shd w:val="clear" w:color="auto" w:fill="auto"/>
            <w:tcMar>
              <w:top w:w="100" w:type="dxa"/>
              <w:left w:w="100" w:type="dxa"/>
              <w:bottom w:w="100" w:type="dxa"/>
              <w:right w:w="100" w:type="dxa"/>
            </w:tcMar>
          </w:tcPr>
          <w:p w14:paraId="677AAE4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 authors identified 3 UAB (user-avatar bond) profiles: differentiated gamers (DGs), identified gamers (IGs), and fused gamers (FGs).</w:t>
            </w:r>
          </w:p>
          <w:p w14:paraId="687BB3A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There were significantly lower disordered gaming behaviors for the DGs and sequentially higher for IGs and FGs.</w:t>
            </w:r>
          </w:p>
        </w:tc>
      </w:tr>
      <w:tr w:rsidR="00B862B4" w14:paraId="1E2652D5" w14:textId="77777777" w:rsidTr="003055DF">
        <w:tc>
          <w:tcPr>
            <w:tcW w:w="1125" w:type="dxa"/>
            <w:tcBorders>
              <w:top w:val="nil"/>
              <w:left w:val="nil"/>
              <w:bottom w:val="nil"/>
              <w:right w:val="nil"/>
            </w:tcBorders>
            <w:tcMar>
              <w:top w:w="40" w:type="dxa"/>
              <w:left w:w="40" w:type="dxa"/>
              <w:bottom w:w="40" w:type="dxa"/>
              <w:right w:w="40" w:type="dxa"/>
            </w:tcMar>
          </w:tcPr>
          <w:p w14:paraId="24A53691"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Stetina</w:t>
            </w:r>
            <w:proofErr w:type="spellEnd"/>
            <w:r>
              <w:rPr>
                <w:rFonts w:ascii="Times New Roman" w:eastAsia="Times New Roman" w:hAnsi="Times New Roman" w:cs="Times New Roman"/>
                <w:sz w:val="16"/>
                <w:szCs w:val="16"/>
              </w:rPr>
              <w:t xml:space="preserve"> et al. (2011)</w:t>
            </w:r>
          </w:p>
        </w:tc>
        <w:tc>
          <w:tcPr>
            <w:tcW w:w="1215" w:type="dxa"/>
            <w:shd w:val="clear" w:color="auto" w:fill="auto"/>
            <w:tcMar>
              <w:top w:w="100" w:type="dxa"/>
              <w:left w:w="100" w:type="dxa"/>
              <w:bottom w:w="100" w:type="dxa"/>
              <w:right w:w="100" w:type="dxa"/>
            </w:tcMar>
          </w:tcPr>
          <w:p w14:paraId="712B193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1D722F5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468 online gamers were recruited from many German-speaking countries in Europe.</w:t>
            </w:r>
          </w:p>
        </w:tc>
        <w:tc>
          <w:tcPr>
            <w:tcW w:w="1290" w:type="dxa"/>
            <w:shd w:val="clear" w:color="auto" w:fill="auto"/>
            <w:tcMar>
              <w:top w:w="100" w:type="dxa"/>
              <w:left w:w="100" w:type="dxa"/>
              <w:bottom w:w="100" w:type="dxa"/>
              <w:right w:w="100" w:type="dxa"/>
            </w:tcMar>
          </w:tcPr>
          <w:p w14:paraId="408EDB7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w:t>
            </w:r>
          </w:p>
        </w:tc>
        <w:tc>
          <w:tcPr>
            <w:tcW w:w="1515" w:type="dxa"/>
            <w:shd w:val="clear" w:color="auto" w:fill="auto"/>
            <w:tcMar>
              <w:top w:w="100" w:type="dxa"/>
              <w:left w:w="100" w:type="dxa"/>
              <w:bottom w:w="100" w:type="dxa"/>
              <w:right w:w="100" w:type="dxa"/>
            </w:tcMar>
          </w:tcPr>
          <w:p w14:paraId="438673A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Genres (</w:t>
            </w:r>
            <w:r>
              <w:rPr>
                <w:rFonts w:ascii="Times New Roman" w:eastAsia="Times New Roman" w:hAnsi="Times New Roman" w:cs="Times New Roman"/>
                <w:sz w:val="16"/>
                <w:szCs w:val="16"/>
                <w:highlight w:val="white"/>
              </w:rPr>
              <w:t>FPS, MMORPG, Strategy)</w:t>
            </w:r>
          </w:p>
        </w:tc>
        <w:tc>
          <w:tcPr>
            <w:tcW w:w="4590" w:type="dxa"/>
            <w:shd w:val="clear" w:color="auto" w:fill="auto"/>
            <w:tcMar>
              <w:top w:w="100" w:type="dxa"/>
              <w:left w:w="100" w:type="dxa"/>
              <w:bottom w:w="100" w:type="dxa"/>
              <w:right w:w="100" w:type="dxa"/>
            </w:tcMar>
          </w:tcPr>
          <w:p w14:paraId="180F4DB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Participants playing MMORPGs reported the highest value of problematic gaming behavior. Gamers of MMORPGs compared to gamers of OES (online-ego-shooters) or gamers of RTS (real time strategy) – reported that they often played online-games to avoid real-life problems or to escape these.</w:t>
            </w:r>
          </w:p>
        </w:tc>
      </w:tr>
      <w:tr w:rsidR="00B862B4" w14:paraId="3CAF6B62" w14:textId="77777777" w:rsidTr="003055DF">
        <w:tc>
          <w:tcPr>
            <w:tcW w:w="1125" w:type="dxa"/>
            <w:tcBorders>
              <w:top w:val="nil"/>
              <w:left w:val="nil"/>
              <w:right w:val="nil"/>
            </w:tcBorders>
            <w:tcMar>
              <w:top w:w="40" w:type="dxa"/>
              <w:left w:w="40" w:type="dxa"/>
              <w:bottom w:w="40" w:type="dxa"/>
              <w:right w:w="40" w:type="dxa"/>
            </w:tcMar>
          </w:tcPr>
          <w:p w14:paraId="3F4482EE"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T’ng</w:t>
            </w:r>
            <w:proofErr w:type="spellEnd"/>
            <w:r>
              <w:rPr>
                <w:rFonts w:ascii="Times New Roman" w:eastAsia="Times New Roman" w:hAnsi="Times New Roman" w:cs="Times New Roman"/>
                <w:sz w:val="16"/>
                <w:szCs w:val="16"/>
              </w:rPr>
              <w:t xml:space="preserve"> &amp; Pau (2020)</w:t>
            </w:r>
          </w:p>
        </w:tc>
        <w:tc>
          <w:tcPr>
            <w:tcW w:w="1215" w:type="dxa"/>
            <w:shd w:val="clear" w:color="auto" w:fill="auto"/>
            <w:tcMar>
              <w:top w:w="100" w:type="dxa"/>
              <w:left w:w="100" w:type="dxa"/>
              <w:bottom w:w="100" w:type="dxa"/>
              <w:right w:w="100" w:type="dxa"/>
            </w:tcMar>
          </w:tcPr>
          <w:p w14:paraId="425FBE3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6E1181C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1175. Males accounted for 75.20% (</w:t>
            </w: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808) and aged between 18 and 29.</w:t>
            </w:r>
          </w:p>
        </w:tc>
        <w:tc>
          <w:tcPr>
            <w:tcW w:w="1290" w:type="dxa"/>
            <w:shd w:val="clear" w:color="auto" w:fill="auto"/>
            <w:tcMar>
              <w:top w:w="100" w:type="dxa"/>
              <w:left w:w="100" w:type="dxa"/>
              <w:bottom w:w="100" w:type="dxa"/>
              <w:right w:w="100" w:type="dxa"/>
            </w:tcMar>
          </w:tcPr>
          <w:p w14:paraId="30AC667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Motivation</w:t>
            </w:r>
          </w:p>
        </w:tc>
        <w:tc>
          <w:tcPr>
            <w:tcW w:w="1515" w:type="dxa"/>
            <w:shd w:val="clear" w:color="auto" w:fill="auto"/>
            <w:tcMar>
              <w:top w:w="100" w:type="dxa"/>
              <w:left w:w="100" w:type="dxa"/>
              <w:bottom w:w="100" w:type="dxa"/>
              <w:right w:w="100" w:type="dxa"/>
            </w:tcMar>
          </w:tcPr>
          <w:p w14:paraId="60E2CAE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Avatar identification</w:t>
            </w:r>
          </w:p>
        </w:tc>
        <w:tc>
          <w:tcPr>
            <w:tcW w:w="4590" w:type="dxa"/>
            <w:shd w:val="clear" w:color="auto" w:fill="auto"/>
            <w:tcMar>
              <w:top w:w="100" w:type="dxa"/>
              <w:left w:w="100" w:type="dxa"/>
              <w:bottom w:w="100" w:type="dxa"/>
              <w:right w:w="100" w:type="dxa"/>
            </w:tcMar>
          </w:tcPr>
          <w:p w14:paraId="778ECF3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Motivation of achievement, motivation of immersion, and avatar identification positively predict IGD, whereas motivation of socialization negatively predicts IGD among MOBA gamers. Avatar identification was a significant mediator of the relationships between motivations of gaming and IGD.</w:t>
            </w:r>
          </w:p>
        </w:tc>
      </w:tr>
      <w:tr w:rsidR="00B862B4" w14:paraId="68F99617" w14:textId="77777777" w:rsidTr="003055DF">
        <w:tc>
          <w:tcPr>
            <w:tcW w:w="1125" w:type="dxa"/>
            <w:tcBorders>
              <w:top w:val="nil"/>
            </w:tcBorders>
            <w:tcMar>
              <w:top w:w="40" w:type="dxa"/>
              <w:left w:w="40" w:type="dxa"/>
              <w:bottom w:w="40" w:type="dxa"/>
              <w:right w:w="40" w:type="dxa"/>
            </w:tcMar>
          </w:tcPr>
          <w:p w14:paraId="30B76DB0" w14:textId="77777777" w:rsidR="00B862B4" w:rsidRDefault="00B862B4" w:rsidP="003055DF">
            <w:pPr>
              <w:widowControl w:val="0"/>
              <w:rPr>
                <w:sz w:val="20"/>
                <w:szCs w:val="20"/>
              </w:rPr>
            </w:pPr>
            <w:proofErr w:type="spellStart"/>
            <w:r>
              <w:rPr>
                <w:rFonts w:ascii="Times New Roman" w:eastAsia="Times New Roman" w:hAnsi="Times New Roman" w:cs="Times New Roman"/>
                <w:sz w:val="16"/>
                <w:szCs w:val="16"/>
              </w:rPr>
              <w:t>Vayisoglu</w:t>
            </w:r>
            <w:proofErr w:type="spellEnd"/>
            <w:r>
              <w:rPr>
                <w:rFonts w:ascii="Times New Roman" w:eastAsia="Times New Roman" w:hAnsi="Times New Roman" w:cs="Times New Roman"/>
                <w:sz w:val="16"/>
                <w:szCs w:val="16"/>
              </w:rPr>
              <w:t xml:space="preserve"> et al. </w:t>
            </w:r>
            <w:r>
              <w:rPr>
                <w:rFonts w:ascii="Times New Roman" w:eastAsia="Times New Roman" w:hAnsi="Times New Roman" w:cs="Times New Roman"/>
                <w:sz w:val="16"/>
                <w:szCs w:val="16"/>
              </w:rPr>
              <w:lastRenderedPageBreak/>
              <w:t>(2021)</w:t>
            </w:r>
          </w:p>
        </w:tc>
        <w:tc>
          <w:tcPr>
            <w:tcW w:w="1215" w:type="dxa"/>
            <w:shd w:val="clear" w:color="auto" w:fill="auto"/>
            <w:tcMar>
              <w:top w:w="100" w:type="dxa"/>
              <w:left w:w="100" w:type="dxa"/>
              <w:bottom w:w="100" w:type="dxa"/>
              <w:right w:w="100" w:type="dxa"/>
            </w:tcMar>
          </w:tcPr>
          <w:p w14:paraId="07F7BFA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Cross sectional</w:t>
            </w:r>
          </w:p>
        </w:tc>
        <w:tc>
          <w:tcPr>
            <w:tcW w:w="2955" w:type="dxa"/>
            <w:shd w:val="clear" w:color="auto" w:fill="auto"/>
            <w:tcMar>
              <w:top w:w="100" w:type="dxa"/>
              <w:left w:w="100" w:type="dxa"/>
              <w:bottom w:w="100" w:type="dxa"/>
              <w:right w:w="100" w:type="dxa"/>
            </w:tcMar>
          </w:tcPr>
          <w:p w14:paraId="4680EEF1"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805. </w:t>
            </w:r>
            <w:r>
              <w:rPr>
                <w:rFonts w:ascii="Times New Roman" w:eastAsia="Times New Roman" w:hAnsi="Times New Roman" w:cs="Times New Roman"/>
                <w:sz w:val="17"/>
                <w:szCs w:val="17"/>
                <w:highlight w:val="white"/>
              </w:rPr>
              <w:t xml:space="preserve">The mean age of the students </w:t>
            </w:r>
            <w:r>
              <w:rPr>
                <w:rFonts w:ascii="Times New Roman" w:eastAsia="Times New Roman" w:hAnsi="Times New Roman" w:cs="Times New Roman"/>
                <w:sz w:val="17"/>
                <w:szCs w:val="17"/>
                <w:highlight w:val="white"/>
              </w:rPr>
              <w:lastRenderedPageBreak/>
              <w:t>was 11.24 ± 1.243 years; 42.7% were male.</w:t>
            </w:r>
          </w:p>
        </w:tc>
        <w:tc>
          <w:tcPr>
            <w:tcW w:w="1290" w:type="dxa"/>
            <w:shd w:val="clear" w:color="auto" w:fill="auto"/>
            <w:tcMar>
              <w:top w:w="100" w:type="dxa"/>
              <w:left w:w="100" w:type="dxa"/>
              <w:bottom w:w="100" w:type="dxa"/>
              <w:right w:w="100" w:type="dxa"/>
            </w:tcMar>
          </w:tcPr>
          <w:p w14:paraId="5B5B7C0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Gaming Disorder, Time </w:t>
            </w:r>
            <w:r>
              <w:rPr>
                <w:rFonts w:ascii="Times New Roman" w:eastAsia="Times New Roman" w:hAnsi="Times New Roman" w:cs="Times New Roman"/>
                <w:sz w:val="16"/>
                <w:szCs w:val="16"/>
              </w:rPr>
              <w:lastRenderedPageBreak/>
              <w:t>Spent Gaming</w:t>
            </w:r>
          </w:p>
        </w:tc>
        <w:tc>
          <w:tcPr>
            <w:tcW w:w="1515" w:type="dxa"/>
            <w:shd w:val="clear" w:color="auto" w:fill="auto"/>
            <w:tcMar>
              <w:top w:w="100" w:type="dxa"/>
              <w:left w:w="100" w:type="dxa"/>
              <w:bottom w:w="100" w:type="dxa"/>
              <w:right w:w="100" w:type="dxa"/>
            </w:tcMar>
          </w:tcPr>
          <w:p w14:paraId="5FB0EDC8"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lastRenderedPageBreak/>
              <w:t>Genres (Strategy, Multiplayer War)</w:t>
            </w:r>
          </w:p>
        </w:tc>
        <w:tc>
          <w:tcPr>
            <w:tcW w:w="4590" w:type="dxa"/>
            <w:shd w:val="clear" w:color="auto" w:fill="auto"/>
            <w:tcMar>
              <w:top w:w="100" w:type="dxa"/>
              <w:left w:w="100" w:type="dxa"/>
              <w:bottom w:w="100" w:type="dxa"/>
              <w:right w:w="100" w:type="dxa"/>
            </w:tcMar>
          </w:tcPr>
          <w:p w14:paraId="219EED12"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 xml:space="preserve">The study found that a higher preference for </w:t>
            </w:r>
            <w:proofErr w:type="spellStart"/>
            <w:r>
              <w:rPr>
                <w:rFonts w:ascii="Times New Roman" w:eastAsia="Times New Roman" w:hAnsi="Times New Roman" w:cs="Times New Roman"/>
                <w:sz w:val="16"/>
                <w:szCs w:val="16"/>
                <w:highlight w:val="white"/>
              </w:rPr>
              <w:t>muliplayer</w:t>
            </w:r>
            <w:proofErr w:type="spellEnd"/>
            <w:r>
              <w:rPr>
                <w:rFonts w:ascii="Times New Roman" w:eastAsia="Times New Roman" w:hAnsi="Times New Roman" w:cs="Times New Roman"/>
                <w:sz w:val="16"/>
                <w:szCs w:val="16"/>
                <w:highlight w:val="white"/>
              </w:rPr>
              <w:t xml:space="preserve"> war and strategy games was associated with higher levels of IGD.</w:t>
            </w:r>
          </w:p>
        </w:tc>
      </w:tr>
      <w:tr w:rsidR="00B862B4" w14:paraId="697BA0CA" w14:textId="77777777" w:rsidTr="003055DF">
        <w:tc>
          <w:tcPr>
            <w:tcW w:w="1125" w:type="dxa"/>
            <w:tcBorders>
              <w:top w:val="nil"/>
              <w:left w:val="nil"/>
              <w:right w:val="nil"/>
            </w:tcBorders>
            <w:tcMar>
              <w:top w:w="40" w:type="dxa"/>
              <w:left w:w="40" w:type="dxa"/>
              <w:bottom w:w="40" w:type="dxa"/>
              <w:right w:w="40" w:type="dxa"/>
            </w:tcMar>
          </w:tcPr>
          <w:p w14:paraId="49FFE64B"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Wang et al. (2014)</w:t>
            </w:r>
          </w:p>
        </w:tc>
        <w:tc>
          <w:tcPr>
            <w:tcW w:w="1215" w:type="dxa"/>
            <w:shd w:val="clear" w:color="auto" w:fill="auto"/>
            <w:tcMar>
              <w:top w:w="100" w:type="dxa"/>
              <w:left w:w="100" w:type="dxa"/>
              <w:bottom w:w="100" w:type="dxa"/>
              <w:right w:w="100" w:type="dxa"/>
            </w:tcMar>
          </w:tcPr>
          <w:p w14:paraId="7932A15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shd w:val="clear" w:color="auto" w:fill="auto"/>
            <w:tcMar>
              <w:top w:w="100" w:type="dxa"/>
              <w:left w:w="100" w:type="dxa"/>
              <w:bottom w:w="100" w:type="dxa"/>
              <w:right w:w="100" w:type="dxa"/>
            </w:tcMar>
          </w:tcPr>
          <w:p w14:paraId="2664552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503 participants were recruited from two secondary schools in Central District and Kowloon East of Hong Kong and were in grades 8-11. 254 girls and 249 boys participated. </w:t>
            </w:r>
          </w:p>
        </w:tc>
        <w:tc>
          <w:tcPr>
            <w:tcW w:w="1290" w:type="dxa"/>
            <w:shd w:val="clear" w:color="auto" w:fill="auto"/>
            <w:tcMar>
              <w:top w:w="100" w:type="dxa"/>
              <w:left w:w="100" w:type="dxa"/>
              <w:bottom w:w="100" w:type="dxa"/>
              <w:right w:w="100" w:type="dxa"/>
            </w:tcMar>
          </w:tcPr>
          <w:p w14:paraId="7222BA9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shd w:val="clear" w:color="auto" w:fill="auto"/>
            <w:tcMar>
              <w:top w:w="100" w:type="dxa"/>
              <w:left w:w="100" w:type="dxa"/>
              <w:bottom w:w="100" w:type="dxa"/>
              <w:right w:w="100" w:type="dxa"/>
            </w:tcMar>
          </w:tcPr>
          <w:p w14:paraId="395DFAE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Multiplayer</w:t>
            </w:r>
          </w:p>
        </w:tc>
        <w:tc>
          <w:tcPr>
            <w:tcW w:w="4590" w:type="dxa"/>
            <w:shd w:val="clear" w:color="auto" w:fill="auto"/>
            <w:tcMar>
              <w:top w:w="100" w:type="dxa"/>
              <w:left w:w="100" w:type="dxa"/>
              <w:bottom w:w="100" w:type="dxa"/>
              <w:right w:w="100" w:type="dxa"/>
            </w:tcMar>
          </w:tcPr>
          <w:p w14:paraId="656EDF5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Multiplayer online games were played for more hours per week and had higher risk for gaming addiction. Time spent on gaming was positively correlated with gaming addiction.  </w:t>
            </w:r>
          </w:p>
        </w:tc>
      </w:tr>
      <w:tr w:rsidR="00B862B4" w14:paraId="1E6B2E85" w14:textId="77777777" w:rsidTr="003055DF">
        <w:tc>
          <w:tcPr>
            <w:tcW w:w="1125" w:type="dxa"/>
            <w:tcBorders>
              <w:bottom w:val="single" w:sz="8" w:space="0" w:color="000000"/>
            </w:tcBorders>
            <w:tcMar>
              <w:top w:w="40" w:type="dxa"/>
              <w:left w:w="40" w:type="dxa"/>
              <w:bottom w:w="40" w:type="dxa"/>
              <w:right w:w="40" w:type="dxa"/>
            </w:tcMar>
          </w:tcPr>
          <w:p w14:paraId="46D45374" w14:textId="77777777" w:rsidR="00B862B4" w:rsidRDefault="00B862B4" w:rsidP="003055DF">
            <w:pPr>
              <w:widowControl w:val="0"/>
              <w:rPr>
                <w:sz w:val="20"/>
                <w:szCs w:val="20"/>
              </w:rPr>
            </w:pPr>
            <w:r>
              <w:rPr>
                <w:rFonts w:ascii="Times New Roman" w:eastAsia="Times New Roman" w:hAnsi="Times New Roman" w:cs="Times New Roman"/>
                <w:sz w:val="16"/>
                <w:szCs w:val="16"/>
              </w:rPr>
              <w:t>Yang et al. (2021)</w:t>
            </w:r>
          </w:p>
        </w:tc>
        <w:tc>
          <w:tcPr>
            <w:tcW w:w="1215" w:type="dxa"/>
            <w:tcBorders>
              <w:bottom w:val="single" w:sz="8" w:space="0" w:color="000000"/>
            </w:tcBorders>
            <w:shd w:val="clear" w:color="auto" w:fill="auto"/>
            <w:tcMar>
              <w:top w:w="100" w:type="dxa"/>
              <w:left w:w="100" w:type="dxa"/>
              <w:bottom w:w="100" w:type="dxa"/>
              <w:right w:w="100" w:type="dxa"/>
            </w:tcMar>
          </w:tcPr>
          <w:p w14:paraId="5A925C7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2955" w:type="dxa"/>
            <w:tcBorders>
              <w:bottom w:val="single" w:sz="8" w:space="0" w:color="000000"/>
            </w:tcBorders>
            <w:shd w:val="clear" w:color="auto" w:fill="auto"/>
            <w:tcMar>
              <w:top w:w="100" w:type="dxa"/>
              <w:left w:w="100" w:type="dxa"/>
              <w:bottom w:w="100" w:type="dxa"/>
              <w:right w:w="100" w:type="dxa"/>
            </w:tcMar>
          </w:tcPr>
          <w:p w14:paraId="3BF1F41B"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201 primary school students participated in this study, of whom the average age was 10.9 (SD=1.2) years.</w:t>
            </w:r>
          </w:p>
        </w:tc>
        <w:tc>
          <w:tcPr>
            <w:tcW w:w="1290" w:type="dxa"/>
            <w:tcBorders>
              <w:bottom w:val="single" w:sz="8" w:space="0" w:color="000000"/>
            </w:tcBorders>
            <w:shd w:val="clear" w:color="auto" w:fill="auto"/>
            <w:tcMar>
              <w:top w:w="100" w:type="dxa"/>
              <w:left w:w="100" w:type="dxa"/>
              <w:bottom w:w="100" w:type="dxa"/>
              <w:right w:w="100" w:type="dxa"/>
            </w:tcMar>
          </w:tcPr>
          <w:p w14:paraId="4C2E967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Time Spent Gaming</w:t>
            </w:r>
          </w:p>
        </w:tc>
        <w:tc>
          <w:tcPr>
            <w:tcW w:w="1515" w:type="dxa"/>
            <w:tcBorders>
              <w:bottom w:val="single" w:sz="8" w:space="0" w:color="000000"/>
            </w:tcBorders>
            <w:shd w:val="clear" w:color="auto" w:fill="auto"/>
            <w:tcMar>
              <w:top w:w="100" w:type="dxa"/>
              <w:left w:w="100" w:type="dxa"/>
              <w:bottom w:w="100" w:type="dxa"/>
              <w:right w:w="100" w:type="dxa"/>
            </w:tcMar>
          </w:tcPr>
          <w:p w14:paraId="324F00D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Avatar Presence</w:t>
            </w:r>
          </w:p>
        </w:tc>
        <w:tc>
          <w:tcPr>
            <w:tcW w:w="4590" w:type="dxa"/>
            <w:tcBorders>
              <w:bottom w:val="single" w:sz="8" w:space="0" w:color="000000"/>
            </w:tcBorders>
            <w:shd w:val="clear" w:color="auto" w:fill="auto"/>
            <w:tcMar>
              <w:top w:w="100" w:type="dxa"/>
              <w:left w:w="100" w:type="dxa"/>
              <w:bottom w:w="100" w:type="dxa"/>
              <w:right w:w="100" w:type="dxa"/>
            </w:tcMar>
          </w:tcPr>
          <w:p w14:paraId="1BE0E984"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 xml:space="preserve">IGD was </w:t>
            </w:r>
            <w:proofErr w:type="spellStart"/>
            <w:r>
              <w:rPr>
                <w:rFonts w:ascii="Times New Roman" w:eastAsia="Times New Roman" w:hAnsi="Times New Roman" w:cs="Times New Roman"/>
                <w:sz w:val="17"/>
                <w:szCs w:val="17"/>
                <w:highlight w:val="white"/>
              </w:rPr>
              <w:t>signfiicantly</w:t>
            </w:r>
            <w:proofErr w:type="spellEnd"/>
            <w:r>
              <w:rPr>
                <w:rFonts w:ascii="Times New Roman" w:eastAsia="Times New Roman" w:hAnsi="Times New Roman" w:cs="Times New Roman"/>
                <w:sz w:val="17"/>
                <w:szCs w:val="17"/>
                <w:highlight w:val="white"/>
              </w:rPr>
              <w:t xml:space="preserve"> and positively associated with daily time use of internet gaming. Player-avatar identification (PAI) was measured as feelings during play day, </w:t>
            </w:r>
            <w:proofErr w:type="spellStart"/>
            <w:r>
              <w:rPr>
                <w:rFonts w:ascii="Times New Roman" w:eastAsia="Times New Roman" w:hAnsi="Times New Roman" w:cs="Times New Roman"/>
                <w:sz w:val="17"/>
                <w:szCs w:val="17"/>
                <w:highlight w:val="white"/>
              </w:rPr>
              <w:t>absorbtion</w:t>
            </w:r>
            <w:proofErr w:type="spellEnd"/>
            <w:r>
              <w:rPr>
                <w:rFonts w:ascii="Times New Roman" w:eastAsia="Times New Roman" w:hAnsi="Times New Roman" w:cs="Times New Roman"/>
                <w:sz w:val="17"/>
                <w:szCs w:val="17"/>
                <w:highlight w:val="white"/>
              </w:rPr>
              <w:t xml:space="preserve">, and importance of the avatar to </w:t>
            </w:r>
            <w:proofErr w:type="spellStart"/>
            <w:proofErr w:type="gramStart"/>
            <w:r>
              <w:rPr>
                <w:rFonts w:ascii="Times New Roman" w:eastAsia="Times New Roman" w:hAnsi="Times New Roman" w:cs="Times New Roman"/>
                <w:sz w:val="17"/>
                <w:szCs w:val="17"/>
                <w:highlight w:val="white"/>
              </w:rPr>
              <w:t>ones</w:t>
            </w:r>
            <w:proofErr w:type="spellEnd"/>
            <w:proofErr w:type="gramEnd"/>
            <w:r>
              <w:rPr>
                <w:rFonts w:ascii="Times New Roman" w:eastAsia="Times New Roman" w:hAnsi="Times New Roman" w:cs="Times New Roman"/>
                <w:sz w:val="17"/>
                <w:szCs w:val="17"/>
                <w:highlight w:val="white"/>
              </w:rPr>
              <w:t xml:space="preserve"> self-identity, and all of these subscales were significantly positively associated with IGD risk. </w:t>
            </w:r>
          </w:p>
        </w:tc>
      </w:tr>
    </w:tbl>
    <w:p w14:paraId="10E45553" w14:textId="77777777" w:rsidR="00B862B4" w:rsidRDefault="00B862B4" w:rsidP="00B862B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Results may have been copied from the body of the original publication.</w:t>
      </w:r>
    </w:p>
    <w:p w14:paraId="22A9FCB0" w14:textId="77777777" w:rsidR="00B862B4" w:rsidRDefault="00B862B4" w:rsidP="00B862B4">
      <w:pPr>
        <w:rPr>
          <w:rFonts w:ascii="Times New Roman" w:eastAsia="Times New Roman" w:hAnsi="Times New Roman" w:cs="Times New Roman"/>
          <w:i/>
          <w:sz w:val="24"/>
          <w:szCs w:val="24"/>
        </w:rPr>
      </w:pPr>
      <w:r>
        <w:br w:type="page"/>
      </w:r>
    </w:p>
    <w:p w14:paraId="6E4FB3DE" w14:textId="288A6436" w:rsidR="00B862B4" w:rsidRDefault="00B862B4" w:rsidP="00B862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Table </w:t>
      </w:r>
      <w:r w:rsidR="00F818C8">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2. Key Characteristics of Included Studies - Not Directly Relevant to Gaming Disorder, But Only Related to a Proxy of Gaming Disorder</w:t>
      </w:r>
    </w:p>
    <w:tbl>
      <w:tblPr>
        <w:tblW w:w="12315" w:type="dxa"/>
        <w:tblInd w:w="55" w:type="dxa"/>
        <w:tblLayout w:type="fixed"/>
        <w:tblLook w:val="0600" w:firstRow="0" w:lastRow="0" w:firstColumn="0" w:lastColumn="0" w:noHBand="1" w:noVBand="1"/>
      </w:tblPr>
      <w:tblGrid>
        <w:gridCol w:w="1065"/>
        <w:gridCol w:w="1185"/>
        <w:gridCol w:w="3060"/>
        <w:gridCol w:w="1110"/>
        <w:gridCol w:w="1275"/>
        <w:gridCol w:w="4620"/>
      </w:tblGrid>
      <w:tr w:rsidR="00B862B4" w14:paraId="704BD069" w14:textId="77777777" w:rsidTr="003055DF">
        <w:trPr>
          <w:trHeight w:val="470"/>
        </w:trPr>
        <w:tc>
          <w:tcPr>
            <w:tcW w:w="1065" w:type="dxa"/>
            <w:tcBorders>
              <w:top w:val="single" w:sz="8" w:space="0" w:color="000000"/>
              <w:bottom w:val="single" w:sz="8" w:space="0" w:color="000000"/>
            </w:tcBorders>
            <w:tcMar>
              <w:top w:w="100" w:type="dxa"/>
              <w:left w:w="100" w:type="dxa"/>
              <w:bottom w:w="100" w:type="dxa"/>
              <w:right w:w="100" w:type="dxa"/>
            </w:tcMar>
            <w:vAlign w:val="center"/>
          </w:tcPr>
          <w:p w14:paraId="02B433E1"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Authors</w:t>
            </w:r>
          </w:p>
        </w:tc>
        <w:tc>
          <w:tcPr>
            <w:tcW w:w="1185" w:type="dxa"/>
            <w:tcBorders>
              <w:top w:val="single" w:sz="8" w:space="0" w:color="000000"/>
              <w:bottom w:val="single" w:sz="8" w:space="0" w:color="000000"/>
            </w:tcBorders>
            <w:tcMar>
              <w:top w:w="100" w:type="dxa"/>
              <w:left w:w="100" w:type="dxa"/>
              <w:bottom w:w="100" w:type="dxa"/>
              <w:right w:w="100" w:type="dxa"/>
            </w:tcMar>
            <w:vAlign w:val="center"/>
          </w:tcPr>
          <w:p w14:paraId="5636E553"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Study Design</w:t>
            </w:r>
          </w:p>
        </w:tc>
        <w:tc>
          <w:tcPr>
            <w:tcW w:w="3060" w:type="dxa"/>
            <w:tcBorders>
              <w:top w:val="single" w:sz="8" w:space="0" w:color="000000"/>
              <w:bottom w:val="single" w:sz="8" w:space="0" w:color="000000"/>
            </w:tcBorders>
            <w:tcMar>
              <w:top w:w="100" w:type="dxa"/>
              <w:left w:w="100" w:type="dxa"/>
              <w:bottom w:w="100" w:type="dxa"/>
              <w:right w:w="100" w:type="dxa"/>
            </w:tcMar>
            <w:vAlign w:val="center"/>
          </w:tcPr>
          <w:p w14:paraId="13088FE7"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Sample</w:t>
            </w:r>
          </w:p>
        </w:tc>
        <w:tc>
          <w:tcPr>
            <w:tcW w:w="1110" w:type="dxa"/>
            <w:tcBorders>
              <w:top w:val="single" w:sz="8" w:space="0" w:color="000000"/>
              <w:bottom w:val="single" w:sz="8" w:space="0" w:color="000000"/>
            </w:tcBorders>
            <w:tcMar>
              <w:top w:w="100" w:type="dxa"/>
              <w:left w:w="100" w:type="dxa"/>
              <w:bottom w:w="100" w:type="dxa"/>
              <w:right w:w="100" w:type="dxa"/>
            </w:tcMar>
            <w:vAlign w:val="center"/>
          </w:tcPr>
          <w:p w14:paraId="4A8546DE"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Gaming Disorder and/or Proxy</w:t>
            </w:r>
          </w:p>
        </w:tc>
        <w:tc>
          <w:tcPr>
            <w:tcW w:w="1275" w:type="dxa"/>
            <w:tcBorders>
              <w:top w:val="single" w:sz="8" w:space="0" w:color="000000"/>
              <w:bottom w:val="single" w:sz="8" w:space="0" w:color="000000"/>
            </w:tcBorders>
            <w:tcMar>
              <w:top w:w="100" w:type="dxa"/>
              <w:left w:w="100" w:type="dxa"/>
              <w:bottom w:w="100" w:type="dxa"/>
              <w:right w:w="100" w:type="dxa"/>
            </w:tcMar>
            <w:vAlign w:val="center"/>
          </w:tcPr>
          <w:p w14:paraId="75FC8418"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Structural Features</w:t>
            </w:r>
          </w:p>
        </w:tc>
        <w:tc>
          <w:tcPr>
            <w:tcW w:w="4620" w:type="dxa"/>
            <w:tcBorders>
              <w:top w:val="single" w:sz="8" w:space="0" w:color="000000"/>
              <w:bottom w:val="single" w:sz="8" w:space="0" w:color="000000"/>
            </w:tcBorders>
            <w:tcMar>
              <w:top w:w="100" w:type="dxa"/>
              <w:left w:w="100" w:type="dxa"/>
              <w:bottom w:w="100" w:type="dxa"/>
              <w:right w:w="100" w:type="dxa"/>
            </w:tcMar>
            <w:vAlign w:val="center"/>
          </w:tcPr>
          <w:p w14:paraId="73647790" w14:textId="77777777" w:rsidR="00B862B4" w:rsidRDefault="00B862B4" w:rsidP="003055DF">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Results</w:t>
            </w:r>
          </w:p>
        </w:tc>
      </w:tr>
      <w:tr w:rsidR="00B862B4" w14:paraId="23690D73" w14:textId="77777777" w:rsidTr="003055DF">
        <w:trPr>
          <w:trHeight w:val="378"/>
        </w:trPr>
        <w:tc>
          <w:tcPr>
            <w:tcW w:w="1065" w:type="dxa"/>
            <w:tcBorders>
              <w:top w:val="nil"/>
              <w:left w:val="nil"/>
              <w:bottom w:val="nil"/>
              <w:right w:val="nil"/>
            </w:tcBorders>
            <w:tcMar>
              <w:top w:w="40" w:type="dxa"/>
              <w:left w:w="40" w:type="dxa"/>
              <w:bottom w:w="40" w:type="dxa"/>
              <w:right w:w="40" w:type="dxa"/>
            </w:tcMar>
          </w:tcPr>
          <w:p w14:paraId="27874B2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Banks (2015)</w:t>
            </w:r>
          </w:p>
        </w:tc>
        <w:tc>
          <w:tcPr>
            <w:tcW w:w="1185" w:type="dxa"/>
            <w:shd w:val="clear" w:color="auto" w:fill="auto"/>
            <w:tcMar>
              <w:top w:w="100" w:type="dxa"/>
              <w:left w:w="100" w:type="dxa"/>
              <w:bottom w:w="100" w:type="dxa"/>
              <w:right w:w="100" w:type="dxa"/>
            </w:tcMar>
          </w:tcPr>
          <w:p w14:paraId="0C5AC62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3060" w:type="dxa"/>
            <w:shd w:val="clear" w:color="auto" w:fill="auto"/>
            <w:tcMar>
              <w:top w:w="100" w:type="dxa"/>
              <w:left w:w="100" w:type="dxa"/>
              <w:bottom w:w="100" w:type="dxa"/>
              <w:right w:w="100" w:type="dxa"/>
            </w:tcMar>
          </w:tcPr>
          <w:p w14:paraId="1170756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25. The final sample included 12 male, nine female, and four genderqueer players.</w:t>
            </w:r>
          </w:p>
        </w:tc>
        <w:tc>
          <w:tcPr>
            <w:tcW w:w="1110" w:type="dxa"/>
            <w:shd w:val="clear" w:color="auto" w:fill="auto"/>
            <w:tcMar>
              <w:top w:w="100" w:type="dxa"/>
              <w:left w:w="100" w:type="dxa"/>
              <w:bottom w:w="100" w:type="dxa"/>
              <w:right w:w="100" w:type="dxa"/>
            </w:tcMar>
          </w:tcPr>
          <w:p w14:paraId="2253A7F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w:t>
            </w:r>
          </w:p>
        </w:tc>
        <w:tc>
          <w:tcPr>
            <w:tcW w:w="1275" w:type="dxa"/>
            <w:shd w:val="clear" w:color="auto" w:fill="auto"/>
            <w:tcMar>
              <w:top w:w="100" w:type="dxa"/>
              <w:left w:w="100" w:type="dxa"/>
              <w:bottom w:w="100" w:type="dxa"/>
              <w:right w:w="100" w:type="dxa"/>
            </w:tcMar>
          </w:tcPr>
          <w:p w14:paraId="7E604CA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Avatar </w:t>
            </w:r>
            <w:proofErr w:type="gramStart"/>
            <w:r>
              <w:rPr>
                <w:rFonts w:ascii="Times New Roman" w:eastAsia="Times New Roman" w:hAnsi="Times New Roman" w:cs="Times New Roman"/>
                <w:sz w:val="16"/>
                <w:szCs w:val="16"/>
              </w:rPr>
              <w:t>Identification,  Guilds</w:t>
            </w:r>
            <w:proofErr w:type="gramEnd"/>
            <w:r>
              <w:rPr>
                <w:rFonts w:ascii="Times New Roman" w:eastAsia="Times New Roman" w:hAnsi="Times New Roman" w:cs="Times New Roman"/>
                <w:sz w:val="16"/>
                <w:szCs w:val="16"/>
              </w:rPr>
              <w:t xml:space="preserve"> / Clans</w:t>
            </w:r>
          </w:p>
        </w:tc>
        <w:tc>
          <w:tcPr>
            <w:tcW w:w="4620" w:type="dxa"/>
            <w:shd w:val="clear" w:color="auto" w:fill="auto"/>
            <w:tcMar>
              <w:top w:w="100" w:type="dxa"/>
              <w:left w:w="100" w:type="dxa"/>
              <w:bottom w:w="100" w:type="dxa"/>
              <w:right w:w="100" w:type="dxa"/>
            </w:tcMar>
          </w:tcPr>
          <w:p w14:paraId="4F69A84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Player-Avatar-Relationships (PAR) become more intimate than anticipated—from a user-used connection to "we." Avatars and other game objects are designed specifically to be social. Players and avatar relationships can be understood in patterns of self-differentiation, emotional intimacy, and perceived agency such that they are consistent with in-game motivations.</w:t>
            </w:r>
          </w:p>
        </w:tc>
      </w:tr>
      <w:tr w:rsidR="00B862B4" w14:paraId="469DA91D" w14:textId="77777777" w:rsidTr="003055DF">
        <w:tc>
          <w:tcPr>
            <w:tcW w:w="1065" w:type="dxa"/>
            <w:tcBorders>
              <w:top w:val="nil"/>
              <w:left w:val="nil"/>
              <w:bottom w:val="nil"/>
              <w:right w:val="nil"/>
            </w:tcBorders>
            <w:tcMar>
              <w:top w:w="40" w:type="dxa"/>
              <w:left w:w="40" w:type="dxa"/>
              <w:bottom w:w="40" w:type="dxa"/>
              <w:right w:w="40" w:type="dxa"/>
            </w:tcMar>
          </w:tcPr>
          <w:p w14:paraId="1035B8F7"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Beranuy</w:t>
            </w:r>
            <w:proofErr w:type="spellEnd"/>
            <w:r>
              <w:rPr>
                <w:rFonts w:ascii="Times New Roman" w:eastAsia="Times New Roman" w:hAnsi="Times New Roman" w:cs="Times New Roman"/>
                <w:sz w:val="16"/>
                <w:szCs w:val="16"/>
              </w:rPr>
              <w:t xml:space="preserve"> et al. (2012)</w:t>
            </w:r>
          </w:p>
        </w:tc>
        <w:tc>
          <w:tcPr>
            <w:tcW w:w="1185" w:type="dxa"/>
            <w:shd w:val="clear" w:color="auto" w:fill="auto"/>
            <w:tcMar>
              <w:top w:w="100" w:type="dxa"/>
              <w:left w:w="100" w:type="dxa"/>
              <w:bottom w:w="100" w:type="dxa"/>
              <w:right w:w="100" w:type="dxa"/>
            </w:tcMar>
          </w:tcPr>
          <w:p w14:paraId="78059A7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3060" w:type="dxa"/>
            <w:shd w:val="clear" w:color="auto" w:fill="auto"/>
            <w:tcMar>
              <w:top w:w="100" w:type="dxa"/>
              <w:left w:w="100" w:type="dxa"/>
              <w:bottom w:w="100" w:type="dxa"/>
              <w:right w:w="100" w:type="dxa"/>
            </w:tcMar>
          </w:tcPr>
          <w:p w14:paraId="0A02E28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9.  All nine participants were single males with an average age of 20.5 years (with ages ranging from 16 to 26 years).</w:t>
            </w:r>
          </w:p>
        </w:tc>
        <w:tc>
          <w:tcPr>
            <w:tcW w:w="1110" w:type="dxa"/>
            <w:shd w:val="clear" w:color="auto" w:fill="auto"/>
            <w:tcMar>
              <w:top w:w="100" w:type="dxa"/>
              <w:left w:w="100" w:type="dxa"/>
              <w:bottom w:w="100" w:type="dxa"/>
              <w:right w:w="100" w:type="dxa"/>
            </w:tcMar>
          </w:tcPr>
          <w:p w14:paraId="2BB92A1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w:t>
            </w:r>
          </w:p>
        </w:tc>
        <w:tc>
          <w:tcPr>
            <w:tcW w:w="1275" w:type="dxa"/>
            <w:shd w:val="clear" w:color="auto" w:fill="auto"/>
            <w:tcMar>
              <w:top w:w="100" w:type="dxa"/>
              <w:left w:w="100" w:type="dxa"/>
              <w:bottom w:w="100" w:type="dxa"/>
              <w:right w:w="100" w:type="dxa"/>
            </w:tcMar>
          </w:tcPr>
          <w:p w14:paraId="79906E0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Virtual friendships / clans, genre (MMORPG)</w:t>
            </w:r>
          </w:p>
        </w:tc>
        <w:tc>
          <w:tcPr>
            <w:tcW w:w="4620" w:type="dxa"/>
            <w:shd w:val="clear" w:color="auto" w:fill="auto"/>
            <w:tcMar>
              <w:top w:w="100" w:type="dxa"/>
              <w:left w:w="100" w:type="dxa"/>
              <w:bottom w:w="100" w:type="dxa"/>
              <w:right w:w="100" w:type="dxa"/>
            </w:tcMar>
          </w:tcPr>
          <w:p w14:paraId="34DABD5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 initiation of gameplay by MMORPG players was due to entertainment, escapism, and virtual friendship.</w:t>
            </w:r>
          </w:p>
        </w:tc>
      </w:tr>
      <w:tr w:rsidR="00B862B4" w14:paraId="7581780F" w14:textId="77777777" w:rsidTr="003055DF">
        <w:tc>
          <w:tcPr>
            <w:tcW w:w="1065" w:type="dxa"/>
            <w:tcBorders>
              <w:top w:val="nil"/>
              <w:left w:val="nil"/>
              <w:bottom w:val="nil"/>
              <w:right w:val="nil"/>
            </w:tcBorders>
            <w:tcMar>
              <w:top w:w="40" w:type="dxa"/>
              <w:left w:w="40" w:type="dxa"/>
              <w:bottom w:w="40" w:type="dxa"/>
              <w:right w:w="40" w:type="dxa"/>
            </w:tcMar>
          </w:tcPr>
          <w:p w14:paraId="296D8B7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Chang (2013)</w:t>
            </w:r>
          </w:p>
        </w:tc>
        <w:tc>
          <w:tcPr>
            <w:tcW w:w="1185" w:type="dxa"/>
            <w:shd w:val="clear" w:color="auto" w:fill="auto"/>
            <w:tcMar>
              <w:top w:w="100" w:type="dxa"/>
              <w:left w:w="100" w:type="dxa"/>
              <w:bottom w:w="100" w:type="dxa"/>
              <w:right w:w="100" w:type="dxa"/>
            </w:tcMar>
          </w:tcPr>
          <w:p w14:paraId="6A8C041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188682A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358. 58% of the sample was male, and 42% female. Participants’ age ranged from 18 to 27 years.</w:t>
            </w:r>
          </w:p>
        </w:tc>
        <w:tc>
          <w:tcPr>
            <w:tcW w:w="1110" w:type="dxa"/>
            <w:shd w:val="clear" w:color="auto" w:fill="auto"/>
            <w:tcMar>
              <w:top w:w="100" w:type="dxa"/>
              <w:left w:w="100" w:type="dxa"/>
              <w:bottom w:w="100" w:type="dxa"/>
              <w:right w:w="100" w:type="dxa"/>
            </w:tcMar>
          </w:tcPr>
          <w:p w14:paraId="7B4E603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Willingness to Continue, Flow</w:t>
            </w:r>
          </w:p>
        </w:tc>
        <w:tc>
          <w:tcPr>
            <w:tcW w:w="1275" w:type="dxa"/>
            <w:shd w:val="clear" w:color="auto" w:fill="auto"/>
            <w:tcMar>
              <w:top w:w="100" w:type="dxa"/>
              <w:left w:w="100" w:type="dxa"/>
              <w:bottom w:w="100" w:type="dxa"/>
              <w:right w:w="100" w:type="dxa"/>
            </w:tcMar>
          </w:tcPr>
          <w:p w14:paraId="08CEC06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Social interaction, human- computer interaction </w:t>
            </w:r>
          </w:p>
        </w:tc>
        <w:tc>
          <w:tcPr>
            <w:tcW w:w="4620" w:type="dxa"/>
            <w:shd w:val="clear" w:color="auto" w:fill="auto"/>
            <w:tcMar>
              <w:top w:w="100" w:type="dxa"/>
              <w:left w:w="100" w:type="dxa"/>
              <w:bottom w:w="100" w:type="dxa"/>
              <w:right w:w="100" w:type="dxa"/>
            </w:tcMar>
          </w:tcPr>
          <w:p w14:paraId="7EB80AC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Social features and human-computer interaction were positively associated with continuance intention of playing social networking games. Furthermore, flow mediated the relationship between satisfaction and continuance intention (willingness to continue).</w:t>
            </w:r>
          </w:p>
        </w:tc>
      </w:tr>
      <w:tr w:rsidR="00B862B4" w14:paraId="37E30C3A" w14:textId="77777777" w:rsidTr="003055DF">
        <w:trPr>
          <w:trHeight w:val="378"/>
        </w:trPr>
        <w:tc>
          <w:tcPr>
            <w:tcW w:w="1065" w:type="dxa"/>
            <w:tcBorders>
              <w:top w:val="nil"/>
              <w:left w:val="nil"/>
              <w:bottom w:val="nil"/>
              <w:right w:val="nil"/>
            </w:tcBorders>
            <w:tcMar>
              <w:top w:w="40" w:type="dxa"/>
              <w:left w:w="40" w:type="dxa"/>
              <w:bottom w:w="40" w:type="dxa"/>
              <w:right w:w="40" w:type="dxa"/>
            </w:tcMar>
          </w:tcPr>
          <w:p w14:paraId="02E7D1A9"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Chumbley</w:t>
            </w:r>
            <w:proofErr w:type="spellEnd"/>
            <w:r>
              <w:rPr>
                <w:rFonts w:ascii="Times New Roman" w:eastAsia="Times New Roman" w:hAnsi="Times New Roman" w:cs="Times New Roman"/>
                <w:sz w:val="16"/>
                <w:szCs w:val="16"/>
              </w:rPr>
              <w:t xml:space="preserve"> &amp; Griffiths (2006)</w:t>
            </w:r>
          </w:p>
        </w:tc>
        <w:tc>
          <w:tcPr>
            <w:tcW w:w="1185" w:type="dxa"/>
            <w:shd w:val="clear" w:color="auto" w:fill="auto"/>
            <w:tcMar>
              <w:top w:w="100" w:type="dxa"/>
              <w:left w:w="100" w:type="dxa"/>
              <w:bottom w:w="100" w:type="dxa"/>
              <w:right w:w="100" w:type="dxa"/>
            </w:tcMar>
          </w:tcPr>
          <w:p w14:paraId="1262FDC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Mixed</w:t>
            </w:r>
          </w:p>
        </w:tc>
        <w:tc>
          <w:tcPr>
            <w:tcW w:w="3060" w:type="dxa"/>
            <w:shd w:val="clear" w:color="auto" w:fill="auto"/>
            <w:tcMar>
              <w:top w:w="100" w:type="dxa"/>
              <w:left w:w="100" w:type="dxa"/>
              <w:bottom w:w="100" w:type="dxa"/>
              <w:right w:w="100" w:type="dxa"/>
            </w:tcMar>
          </w:tcPr>
          <w:p w14:paraId="7AADF29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33. </w:t>
            </w:r>
            <w:r>
              <w:rPr>
                <w:rFonts w:ascii="Times New Roman" w:eastAsia="Times New Roman" w:hAnsi="Times New Roman" w:cs="Times New Roman"/>
                <w:sz w:val="16"/>
                <w:szCs w:val="16"/>
                <w:highlight w:val="white"/>
              </w:rPr>
              <w:t>Mean age was 21.3 years (range 18-32 years; mode 21 years). Equal representation of gender (n=17 male; n = 16 female). 11/21 Were frequent players (more than one hour weekly).</w:t>
            </w:r>
          </w:p>
        </w:tc>
        <w:tc>
          <w:tcPr>
            <w:tcW w:w="1110" w:type="dxa"/>
            <w:shd w:val="clear" w:color="auto" w:fill="auto"/>
            <w:tcMar>
              <w:top w:w="100" w:type="dxa"/>
              <w:left w:w="100" w:type="dxa"/>
              <w:bottom w:w="100" w:type="dxa"/>
              <w:right w:w="100" w:type="dxa"/>
            </w:tcMar>
          </w:tcPr>
          <w:p w14:paraId="7E415A8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Willingness to Continue, Willingness to Return to Play, Excitement, Enjoyment</w:t>
            </w:r>
          </w:p>
        </w:tc>
        <w:tc>
          <w:tcPr>
            <w:tcW w:w="1275" w:type="dxa"/>
            <w:shd w:val="clear" w:color="auto" w:fill="auto"/>
            <w:tcMar>
              <w:top w:w="100" w:type="dxa"/>
              <w:left w:w="100" w:type="dxa"/>
              <w:bottom w:w="100" w:type="dxa"/>
              <w:right w:w="100" w:type="dxa"/>
            </w:tcMar>
          </w:tcPr>
          <w:p w14:paraId="2C3B0A0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Game reinforcement characteristics (negative reinforcement)</w:t>
            </w:r>
          </w:p>
        </w:tc>
        <w:tc>
          <w:tcPr>
            <w:tcW w:w="4620" w:type="dxa"/>
            <w:shd w:val="clear" w:color="auto" w:fill="auto"/>
            <w:tcMar>
              <w:top w:w="100" w:type="dxa"/>
              <w:left w:w="100" w:type="dxa"/>
              <w:bottom w:w="100" w:type="dxa"/>
              <w:right w:w="100" w:type="dxa"/>
            </w:tcMar>
          </w:tcPr>
          <w:p w14:paraId="6FFC29F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Decrease in negative in-game reinforcement </w:t>
            </w:r>
            <w:proofErr w:type="spellStart"/>
            <w:r>
              <w:rPr>
                <w:rFonts w:ascii="Times New Roman" w:eastAsia="Times New Roman" w:hAnsi="Times New Roman" w:cs="Times New Roman"/>
                <w:sz w:val="16"/>
                <w:szCs w:val="16"/>
                <w:highlight w:val="white"/>
              </w:rPr>
              <w:t>chracteristics</w:t>
            </w:r>
            <w:proofErr w:type="spellEnd"/>
            <w:r>
              <w:rPr>
                <w:rFonts w:ascii="Times New Roman" w:eastAsia="Times New Roman" w:hAnsi="Times New Roman" w:cs="Times New Roman"/>
                <w:sz w:val="16"/>
                <w:szCs w:val="16"/>
                <w:highlight w:val="white"/>
              </w:rPr>
              <w:t xml:space="preserve"> associated with greater propensity to continue to play. Increasing the ratio of negative to positive reinforcement led to less excitement/greater frustration.</w:t>
            </w:r>
          </w:p>
        </w:tc>
      </w:tr>
      <w:tr w:rsidR="00B862B4" w14:paraId="43EFB11A" w14:textId="77777777" w:rsidTr="003055DF">
        <w:tc>
          <w:tcPr>
            <w:tcW w:w="1065" w:type="dxa"/>
            <w:tcBorders>
              <w:top w:val="nil"/>
              <w:left w:val="nil"/>
              <w:bottom w:val="nil"/>
              <w:right w:val="nil"/>
            </w:tcBorders>
            <w:tcMar>
              <w:top w:w="40" w:type="dxa"/>
              <w:left w:w="40" w:type="dxa"/>
              <w:bottom w:w="40" w:type="dxa"/>
              <w:right w:w="40" w:type="dxa"/>
            </w:tcMar>
          </w:tcPr>
          <w:p w14:paraId="1C58CDBC"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Cruz et al. (2017)</w:t>
            </w:r>
          </w:p>
        </w:tc>
        <w:tc>
          <w:tcPr>
            <w:tcW w:w="1185" w:type="dxa"/>
            <w:shd w:val="clear" w:color="auto" w:fill="auto"/>
            <w:tcMar>
              <w:top w:w="100" w:type="dxa"/>
              <w:left w:w="100" w:type="dxa"/>
              <w:bottom w:w="100" w:type="dxa"/>
              <w:right w:w="100" w:type="dxa"/>
            </w:tcMar>
          </w:tcPr>
          <w:p w14:paraId="15D975C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3060" w:type="dxa"/>
            <w:shd w:val="clear" w:color="auto" w:fill="auto"/>
            <w:tcMar>
              <w:top w:w="100" w:type="dxa"/>
              <w:left w:w="100" w:type="dxa"/>
              <w:bottom w:w="100" w:type="dxa"/>
              <w:right w:w="100" w:type="dxa"/>
            </w:tcMar>
          </w:tcPr>
          <w:p w14:paraId="5287E38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36. </w:t>
            </w:r>
            <w:r>
              <w:rPr>
                <w:rFonts w:ascii="Times New Roman" w:eastAsia="Times New Roman" w:hAnsi="Times New Roman" w:cs="Times New Roman"/>
                <w:sz w:val="16"/>
                <w:szCs w:val="16"/>
                <w:highlight w:val="white"/>
              </w:rPr>
              <w:t xml:space="preserve">Mean age was 22.5 years old (SD = 3.42), ranging from 18-38 years; required to have played video games for over 50 hours over last six months. </w:t>
            </w:r>
          </w:p>
        </w:tc>
        <w:tc>
          <w:tcPr>
            <w:tcW w:w="1110" w:type="dxa"/>
            <w:shd w:val="clear" w:color="auto" w:fill="auto"/>
            <w:tcMar>
              <w:top w:w="100" w:type="dxa"/>
              <w:left w:w="100" w:type="dxa"/>
              <w:bottom w:w="100" w:type="dxa"/>
              <w:right w:w="100" w:type="dxa"/>
            </w:tcMar>
          </w:tcPr>
          <w:p w14:paraId="4231820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Enjoyment, Motivation</w:t>
            </w:r>
          </w:p>
        </w:tc>
        <w:tc>
          <w:tcPr>
            <w:tcW w:w="1275" w:type="dxa"/>
            <w:shd w:val="clear" w:color="auto" w:fill="auto"/>
            <w:tcMar>
              <w:top w:w="100" w:type="dxa"/>
              <w:left w:w="100" w:type="dxa"/>
              <w:bottom w:w="100" w:type="dxa"/>
              <w:right w:w="100" w:type="dxa"/>
            </w:tcMar>
          </w:tcPr>
          <w:p w14:paraId="0055E5F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In-game badge systems (Ex. </w:t>
            </w:r>
            <w:proofErr w:type="spellStart"/>
            <w:r>
              <w:rPr>
                <w:rFonts w:ascii="Times New Roman" w:eastAsia="Times New Roman" w:hAnsi="Times New Roman" w:cs="Times New Roman"/>
                <w:sz w:val="16"/>
                <w:szCs w:val="16"/>
                <w:highlight w:val="white"/>
              </w:rPr>
              <w:t>Playstation</w:t>
            </w:r>
            <w:proofErr w:type="spellEnd"/>
            <w:r>
              <w:rPr>
                <w:rFonts w:ascii="Times New Roman" w:eastAsia="Times New Roman" w:hAnsi="Times New Roman" w:cs="Times New Roman"/>
                <w:sz w:val="16"/>
                <w:szCs w:val="16"/>
                <w:highlight w:val="white"/>
              </w:rPr>
              <w:t xml:space="preserve"> Trophies or Xbox Achievement)</w:t>
            </w:r>
          </w:p>
        </w:tc>
        <w:tc>
          <w:tcPr>
            <w:tcW w:w="4620" w:type="dxa"/>
            <w:shd w:val="clear" w:color="auto" w:fill="auto"/>
            <w:tcMar>
              <w:top w:w="100" w:type="dxa"/>
              <w:left w:w="100" w:type="dxa"/>
              <w:bottom w:w="100" w:type="dxa"/>
              <w:right w:w="100" w:type="dxa"/>
            </w:tcMar>
          </w:tcPr>
          <w:p w14:paraId="7A63062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Mixed results were found; for instance, it was </w:t>
            </w:r>
            <w:proofErr w:type="gramStart"/>
            <w:r>
              <w:rPr>
                <w:rFonts w:ascii="Times New Roman" w:eastAsia="Times New Roman" w:hAnsi="Times New Roman" w:cs="Times New Roman"/>
                <w:sz w:val="16"/>
                <w:szCs w:val="16"/>
                <w:highlight w:val="white"/>
              </w:rPr>
              <w:t>identified  that</w:t>
            </w:r>
            <w:proofErr w:type="gramEnd"/>
            <w:r>
              <w:rPr>
                <w:rFonts w:ascii="Times New Roman" w:eastAsia="Times New Roman" w:hAnsi="Times New Roman" w:cs="Times New Roman"/>
                <w:sz w:val="16"/>
                <w:szCs w:val="16"/>
                <w:highlight w:val="white"/>
              </w:rPr>
              <w:t xml:space="preserve"> badge systems can be motivating to players, though, this depends on the person. Players showed a general dislike for arbitrary rewards. Researchers found that badges gave short-term ego boost/efficacy/pride.</w:t>
            </w:r>
          </w:p>
        </w:tc>
      </w:tr>
      <w:tr w:rsidR="00B862B4" w14:paraId="040E2F85" w14:textId="77777777" w:rsidTr="003055DF">
        <w:tc>
          <w:tcPr>
            <w:tcW w:w="1065" w:type="dxa"/>
            <w:tcBorders>
              <w:top w:val="nil"/>
              <w:left w:val="nil"/>
              <w:bottom w:val="nil"/>
              <w:right w:val="nil"/>
            </w:tcBorders>
            <w:tcMar>
              <w:top w:w="40" w:type="dxa"/>
              <w:left w:w="40" w:type="dxa"/>
              <w:bottom w:w="40" w:type="dxa"/>
              <w:right w:w="40" w:type="dxa"/>
            </w:tcMar>
          </w:tcPr>
          <w:p w14:paraId="5D6A1DD1"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De Albuquerque &amp; </w:t>
            </w:r>
            <w:proofErr w:type="spellStart"/>
            <w:r>
              <w:rPr>
                <w:rFonts w:ascii="Times New Roman" w:eastAsia="Times New Roman" w:hAnsi="Times New Roman" w:cs="Times New Roman"/>
                <w:sz w:val="16"/>
                <w:szCs w:val="16"/>
              </w:rPr>
              <w:t>Fialho</w:t>
            </w:r>
            <w:proofErr w:type="spellEnd"/>
            <w:r>
              <w:rPr>
                <w:rFonts w:ascii="Times New Roman" w:eastAsia="Times New Roman" w:hAnsi="Times New Roman" w:cs="Times New Roman"/>
                <w:sz w:val="16"/>
                <w:szCs w:val="16"/>
              </w:rPr>
              <w:t xml:space="preserve"> (2015)</w:t>
            </w:r>
          </w:p>
        </w:tc>
        <w:tc>
          <w:tcPr>
            <w:tcW w:w="1185" w:type="dxa"/>
            <w:shd w:val="clear" w:color="auto" w:fill="auto"/>
            <w:tcMar>
              <w:top w:w="100" w:type="dxa"/>
              <w:left w:w="100" w:type="dxa"/>
              <w:bottom w:w="100" w:type="dxa"/>
              <w:right w:w="100" w:type="dxa"/>
            </w:tcMar>
          </w:tcPr>
          <w:p w14:paraId="4B06BFE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5CFDE19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634. </w:t>
            </w:r>
            <w:r>
              <w:rPr>
                <w:rFonts w:ascii="Times New Roman" w:eastAsia="Times New Roman" w:hAnsi="Times New Roman" w:cs="Times New Roman"/>
                <w:sz w:val="16"/>
                <w:szCs w:val="16"/>
                <w:highlight w:val="white"/>
              </w:rPr>
              <w:t xml:space="preserve">440 participants from public school, 111 from private school, and 83 from </w:t>
            </w:r>
            <w:proofErr w:type="spellStart"/>
            <w:r>
              <w:rPr>
                <w:rFonts w:ascii="Times New Roman" w:eastAsia="Times New Roman" w:hAnsi="Times New Roman" w:cs="Times New Roman"/>
                <w:sz w:val="16"/>
                <w:szCs w:val="16"/>
                <w:highlight w:val="white"/>
              </w:rPr>
              <w:t>sate</w:t>
            </w:r>
            <w:proofErr w:type="spellEnd"/>
            <w:r>
              <w:rPr>
                <w:rFonts w:ascii="Times New Roman" w:eastAsia="Times New Roman" w:hAnsi="Times New Roman" w:cs="Times New Roman"/>
                <w:sz w:val="16"/>
                <w:szCs w:val="16"/>
                <w:highlight w:val="white"/>
              </w:rPr>
              <w:t xml:space="preserve"> university.</w:t>
            </w:r>
          </w:p>
        </w:tc>
        <w:tc>
          <w:tcPr>
            <w:tcW w:w="1110" w:type="dxa"/>
            <w:shd w:val="clear" w:color="auto" w:fill="auto"/>
            <w:tcMar>
              <w:top w:w="100" w:type="dxa"/>
              <w:left w:w="100" w:type="dxa"/>
              <w:bottom w:w="100" w:type="dxa"/>
              <w:right w:w="100" w:type="dxa"/>
            </w:tcMar>
          </w:tcPr>
          <w:p w14:paraId="12C4D07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Engagement, Fun, Preference</w:t>
            </w:r>
          </w:p>
        </w:tc>
        <w:tc>
          <w:tcPr>
            <w:tcW w:w="1275" w:type="dxa"/>
            <w:shd w:val="clear" w:color="auto" w:fill="auto"/>
            <w:tcMar>
              <w:top w:w="100" w:type="dxa"/>
              <w:left w:w="100" w:type="dxa"/>
              <w:bottom w:w="100" w:type="dxa"/>
              <w:right w:w="100" w:type="dxa"/>
            </w:tcMar>
          </w:tcPr>
          <w:p w14:paraId="237E91A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Genres, in-game realism, competition, socialization, violence</w:t>
            </w:r>
          </w:p>
        </w:tc>
        <w:tc>
          <w:tcPr>
            <w:tcW w:w="4620" w:type="dxa"/>
            <w:shd w:val="clear" w:color="auto" w:fill="auto"/>
            <w:tcMar>
              <w:top w:w="100" w:type="dxa"/>
              <w:left w:w="100" w:type="dxa"/>
              <w:bottom w:w="100" w:type="dxa"/>
              <w:right w:w="100" w:type="dxa"/>
            </w:tcMar>
          </w:tcPr>
          <w:p w14:paraId="49A618B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Differential genre preference depending on age (strategy, puzzles, and RPG preferred by older players). In-game social interactions and realism were found to be more fun. </w:t>
            </w:r>
          </w:p>
        </w:tc>
      </w:tr>
      <w:tr w:rsidR="00B862B4" w14:paraId="3F49D785" w14:textId="77777777" w:rsidTr="003055DF">
        <w:tc>
          <w:tcPr>
            <w:tcW w:w="1065" w:type="dxa"/>
            <w:tcBorders>
              <w:top w:val="nil"/>
              <w:left w:val="nil"/>
              <w:bottom w:val="nil"/>
              <w:right w:val="nil"/>
            </w:tcBorders>
            <w:tcMar>
              <w:top w:w="40" w:type="dxa"/>
              <w:left w:w="40" w:type="dxa"/>
              <w:bottom w:w="40" w:type="dxa"/>
              <w:right w:w="40" w:type="dxa"/>
            </w:tcMar>
          </w:tcPr>
          <w:p w14:paraId="2F41C667"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Dietrich et al. </w:t>
            </w:r>
            <w:r>
              <w:rPr>
                <w:rFonts w:ascii="Times New Roman" w:eastAsia="Times New Roman" w:hAnsi="Times New Roman" w:cs="Times New Roman"/>
                <w:sz w:val="16"/>
                <w:szCs w:val="16"/>
              </w:rPr>
              <w:lastRenderedPageBreak/>
              <w:t>(2018)</w:t>
            </w:r>
          </w:p>
        </w:tc>
        <w:tc>
          <w:tcPr>
            <w:tcW w:w="1185" w:type="dxa"/>
            <w:shd w:val="clear" w:color="auto" w:fill="auto"/>
            <w:tcMar>
              <w:top w:w="100" w:type="dxa"/>
              <w:left w:w="100" w:type="dxa"/>
              <w:bottom w:w="100" w:type="dxa"/>
              <w:right w:w="100" w:type="dxa"/>
            </w:tcMar>
          </w:tcPr>
          <w:p w14:paraId="0965230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Qualitative</w:t>
            </w:r>
          </w:p>
        </w:tc>
        <w:tc>
          <w:tcPr>
            <w:tcW w:w="3060" w:type="dxa"/>
            <w:shd w:val="clear" w:color="auto" w:fill="auto"/>
            <w:tcMar>
              <w:top w:w="100" w:type="dxa"/>
              <w:left w:w="100" w:type="dxa"/>
              <w:bottom w:w="100" w:type="dxa"/>
              <w:right w:w="100" w:type="dxa"/>
            </w:tcMar>
          </w:tcPr>
          <w:p w14:paraId="07FD9392"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640. </w:t>
            </w:r>
            <w:r>
              <w:rPr>
                <w:rFonts w:ascii="Times New Roman" w:eastAsia="Times New Roman" w:hAnsi="Times New Roman" w:cs="Times New Roman"/>
                <w:sz w:val="16"/>
                <w:szCs w:val="16"/>
                <w:highlight w:val="white"/>
              </w:rPr>
              <w:t xml:space="preserve">There were 1,907 adolescents who </w:t>
            </w:r>
            <w:r>
              <w:rPr>
                <w:rFonts w:ascii="Times New Roman" w:eastAsia="Times New Roman" w:hAnsi="Times New Roman" w:cs="Times New Roman"/>
                <w:sz w:val="16"/>
                <w:szCs w:val="16"/>
                <w:highlight w:val="white"/>
              </w:rPr>
              <w:lastRenderedPageBreak/>
              <w:t xml:space="preserve">received the GOKA </w:t>
            </w:r>
            <w:proofErr w:type="spellStart"/>
            <w:r>
              <w:rPr>
                <w:rFonts w:ascii="Times New Roman" w:eastAsia="Times New Roman" w:hAnsi="Times New Roman" w:cs="Times New Roman"/>
                <w:sz w:val="16"/>
                <w:szCs w:val="16"/>
                <w:highlight w:val="white"/>
              </w:rPr>
              <w:t>programme</w:t>
            </w:r>
            <w:proofErr w:type="spellEnd"/>
            <w:r>
              <w:rPr>
                <w:rFonts w:ascii="Times New Roman" w:eastAsia="Times New Roman" w:hAnsi="Times New Roman" w:cs="Times New Roman"/>
                <w:sz w:val="16"/>
                <w:szCs w:val="16"/>
                <w:highlight w:val="white"/>
              </w:rPr>
              <w:t xml:space="preserve">. Their mean age at baseline was 15.14 years (95 per cent CI, 14.84 to 16.45 years). There were approximately equal numbers of male (n = 746, 51.4 per cent) and female participants. Of the </w:t>
            </w:r>
            <w:proofErr w:type="spellStart"/>
            <w:r>
              <w:rPr>
                <w:rFonts w:ascii="Times New Roman" w:eastAsia="Times New Roman" w:hAnsi="Times New Roman" w:cs="Times New Roman"/>
                <w:sz w:val="16"/>
                <w:szCs w:val="16"/>
                <w:highlight w:val="white"/>
              </w:rPr>
              <w:t>programme</w:t>
            </w:r>
            <w:proofErr w:type="spellEnd"/>
            <w:r>
              <w:rPr>
                <w:rFonts w:ascii="Times New Roman" w:eastAsia="Times New Roman" w:hAnsi="Times New Roman" w:cs="Times New Roman"/>
                <w:sz w:val="16"/>
                <w:szCs w:val="16"/>
                <w:highlight w:val="white"/>
              </w:rPr>
              <w:t xml:space="preserve"> participants, 640 (33.5 per cent) played one or more of the online games and gave useable written feedback.</w:t>
            </w:r>
          </w:p>
          <w:p w14:paraId="2612FB38" w14:textId="77777777" w:rsidR="00B862B4" w:rsidRDefault="00B862B4" w:rsidP="003055DF">
            <w:pPr>
              <w:widowControl w:val="0"/>
              <w:spacing w:line="240" w:lineRule="auto"/>
              <w:rPr>
                <w:rFonts w:ascii="Times New Roman" w:eastAsia="Times New Roman" w:hAnsi="Times New Roman" w:cs="Times New Roman"/>
                <w:sz w:val="16"/>
                <w:szCs w:val="16"/>
              </w:rPr>
            </w:pPr>
          </w:p>
          <w:p w14:paraId="413C4924"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p>
          <w:p w14:paraId="40CED3F4" w14:textId="77777777" w:rsidR="00B862B4" w:rsidRDefault="00B862B4" w:rsidP="003055DF">
            <w:pPr>
              <w:widowControl w:val="0"/>
              <w:spacing w:line="240" w:lineRule="auto"/>
              <w:rPr>
                <w:rFonts w:ascii="Times New Roman" w:eastAsia="Times New Roman" w:hAnsi="Times New Roman" w:cs="Times New Roman"/>
                <w:sz w:val="16"/>
                <w:szCs w:val="16"/>
              </w:rPr>
            </w:pPr>
          </w:p>
        </w:tc>
        <w:tc>
          <w:tcPr>
            <w:tcW w:w="1110" w:type="dxa"/>
            <w:shd w:val="clear" w:color="auto" w:fill="auto"/>
            <w:tcMar>
              <w:top w:w="100" w:type="dxa"/>
              <w:left w:w="100" w:type="dxa"/>
              <w:bottom w:w="100" w:type="dxa"/>
              <w:right w:w="100" w:type="dxa"/>
            </w:tcMar>
          </w:tcPr>
          <w:p w14:paraId="59A6045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Preference</w:t>
            </w:r>
          </w:p>
        </w:tc>
        <w:tc>
          <w:tcPr>
            <w:tcW w:w="1275" w:type="dxa"/>
            <w:shd w:val="clear" w:color="auto" w:fill="auto"/>
            <w:tcMar>
              <w:top w:w="100" w:type="dxa"/>
              <w:left w:w="100" w:type="dxa"/>
              <w:bottom w:w="100" w:type="dxa"/>
              <w:right w:w="100" w:type="dxa"/>
            </w:tcMar>
          </w:tcPr>
          <w:p w14:paraId="510263F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Social features - </w:t>
            </w:r>
            <w:r>
              <w:rPr>
                <w:rFonts w:ascii="Times New Roman" w:eastAsia="Times New Roman" w:hAnsi="Times New Roman" w:cs="Times New Roman"/>
                <w:sz w:val="16"/>
                <w:szCs w:val="16"/>
                <w:highlight w:val="white"/>
              </w:rPr>
              <w:lastRenderedPageBreak/>
              <w:t>general (competition), leader board and reward features - general (tasks competition, and goals), reward intervals (progress rewards), points (also included badges)</w:t>
            </w:r>
          </w:p>
        </w:tc>
        <w:tc>
          <w:tcPr>
            <w:tcW w:w="4620" w:type="dxa"/>
            <w:shd w:val="clear" w:color="auto" w:fill="auto"/>
            <w:tcMar>
              <w:top w:w="100" w:type="dxa"/>
              <w:left w:w="100" w:type="dxa"/>
              <w:bottom w:w="100" w:type="dxa"/>
              <w:right w:w="100" w:type="dxa"/>
            </w:tcMar>
          </w:tcPr>
          <w:p w14:paraId="63C2B29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lastRenderedPageBreak/>
              <w:t xml:space="preserve">Gaming time (hours/week) was significantly and considerably </w:t>
            </w:r>
            <w:r>
              <w:rPr>
                <w:rFonts w:ascii="Times New Roman" w:eastAsia="Times New Roman" w:hAnsi="Times New Roman" w:cs="Times New Roman"/>
                <w:sz w:val="16"/>
                <w:szCs w:val="16"/>
                <w:highlight w:val="white"/>
              </w:rPr>
              <w:lastRenderedPageBreak/>
              <w:t xml:space="preserve">greater (by about 10 h per week) among those showing problematic gaming behavior. Gamers showing problematic gaming behavior preferred to play MMORPGs (33.6%) and FPS games (34.5%) more frequently and listed those as their favorite game genres. </w:t>
            </w:r>
          </w:p>
        </w:tc>
      </w:tr>
      <w:tr w:rsidR="00B862B4" w14:paraId="4CDEFF9E" w14:textId="77777777" w:rsidTr="003055DF">
        <w:tc>
          <w:tcPr>
            <w:tcW w:w="1065" w:type="dxa"/>
            <w:tcBorders>
              <w:top w:val="nil"/>
              <w:left w:val="nil"/>
              <w:bottom w:val="nil"/>
              <w:right w:val="nil"/>
            </w:tcBorders>
            <w:tcMar>
              <w:top w:w="40" w:type="dxa"/>
              <w:left w:w="40" w:type="dxa"/>
              <w:bottom w:w="40" w:type="dxa"/>
              <w:right w:w="40" w:type="dxa"/>
            </w:tcMar>
          </w:tcPr>
          <w:p w14:paraId="0EDDD78B"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Ferguson &amp; Olson (2012)</w:t>
            </w:r>
          </w:p>
        </w:tc>
        <w:tc>
          <w:tcPr>
            <w:tcW w:w="1185" w:type="dxa"/>
            <w:shd w:val="clear" w:color="auto" w:fill="auto"/>
            <w:tcMar>
              <w:top w:w="100" w:type="dxa"/>
              <w:left w:w="100" w:type="dxa"/>
              <w:bottom w:w="100" w:type="dxa"/>
              <w:right w:w="100" w:type="dxa"/>
            </w:tcMar>
          </w:tcPr>
          <w:p w14:paraId="6FA2BB3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50F6523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1254. </w:t>
            </w:r>
            <w:r>
              <w:rPr>
                <w:rFonts w:ascii="Times New Roman" w:eastAsia="Times New Roman" w:hAnsi="Times New Roman" w:cs="Times New Roman"/>
                <w:sz w:val="16"/>
                <w:szCs w:val="16"/>
                <w:highlight w:val="white"/>
              </w:rPr>
              <w:t xml:space="preserve">Seventh and eighth grade students at four middle schools in the mid-Atlantic region of the United States were included. 584 (47%) of the students identified themselves as male, and 653 (53%) as female. </w:t>
            </w:r>
          </w:p>
        </w:tc>
        <w:tc>
          <w:tcPr>
            <w:tcW w:w="1110" w:type="dxa"/>
            <w:shd w:val="clear" w:color="auto" w:fill="auto"/>
            <w:tcMar>
              <w:top w:w="100" w:type="dxa"/>
              <w:left w:w="100" w:type="dxa"/>
              <w:bottom w:w="100" w:type="dxa"/>
              <w:right w:w="100" w:type="dxa"/>
            </w:tcMar>
          </w:tcPr>
          <w:p w14:paraId="14BD5C1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 Preference</w:t>
            </w:r>
          </w:p>
        </w:tc>
        <w:tc>
          <w:tcPr>
            <w:tcW w:w="1275" w:type="dxa"/>
            <w:shd w:val="clear" w:color="auto" w:fill="auto"/>
            <w:tcMar>
              <w:top w:w="100" w:type="dxa"/>
              <w:left w:w="100" w:type="dxa"/>
              <w:bottom w:w="100" w:type="dxa"/>
              <w:right w:w="100" w:type="dxa"/>
            </w:tcMar>
          </w:tcPr>
          <w:p w14:paraId="3F8333E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Violence</w:t>
            </w:r>
          </w:p>
        </w:tc>
        <w:tc>
          <w:tcPr>
            <w:tcW w:w="4620" w:type="dxa"/>
            <w:shd w:val="clear" w:color="auto" w:fill="auto"/>
            <w:tcMar>
              <w:top w:w="100" w:type="dxa"/>
              <w:left w:w="100" w:type="dxa"/>
              <w:bottom w:w="100" w:type="dxa"/>
              <w:right w:w="100" w:type="dxa"/>
            </w:tcMar>
          </w:tcPr>
          <w:p w14:paraId="276AF252" w14:textId="77777777" w:rsidR="00B862B4" w:rsidRDefault="00B862B4" w:rsidP="003055DF">
            <w:pPr>
              <w:widowControl w:val="0"/>
              <w:spacing w:line="240" w:lineRule="auto"/>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Identified  a</w:t>
            </w:r>
            <w:proofErr w:type="gramEnd"/>
            <w:r>
              <w:rPr>
                <w:rFonts w:ascii="Times New Roman" w:eastAsia="Times New Roman" w:hAnsi="Times New Roman" w:cs="Times New Roman"/>
                <w:sz w:val="16"/>
                <w:szCs w:val="16"/>
              </w:rPr>
              <w:t xml:space="preserve"> 4-factor model of motivation: fun/challenge factor, catharsis/autonomy factor, social relatedness factor, bored factor Violent game play was positively predicted by fun/challenge motivation and catharsis motivation</w:t>
            </w:r>
          </w:p>
        </w:tc>
      </w:tr>
      <w:tr w:rsidR="00B862B4" w14:paraId="427DA9FE" w14:textId="77777777" w:rsidTr="003055DF">
        <w:tc>
          <w:tcPr>
            <w:tcW w:w="1065" w:type="dxa"/>
            <w:tcBorders>
              <w:top w:val="nil"/>
              <w:left w:val="nil"/>
              <w:bottom w:val="nil"/>
              <w:right w:val="nil"/>
            </w:tcBorders>
            <w:tcMar>
              <w:top w:w="40" w:type="dxa"/>
              <w:left w:w="40" w:type="dxa"/>
              <w:bottom w:w="40" w:type="dxa"/>
              <w:right w:w="40" w:type="dxa"/>
            </w:tcMar>
          </w:tcPr>
          <w:p w14:paraId="22012359"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Finserås</w:t>
            </w:r>
            <w:proofErr w:type="spellEnd"/>
            <w:r>
              <w:rPr>
                <w:rFonts w:ascii="Times New Roman" w:eastAsia="Times New Roman" w:hAnsi="Times New Roman" w:cs="Times New Roman"/>
                <w:sz w:val="16"/>
                <w:szCs w:val="16"/>
              </w:rPr>
              <w:t xml:space="preserve"> et al. (2019)</w:t>
            </w:r>
          </w:p>
        </w:tc>
        <w:tc>
          <w:tcPr>
            <w:tcW w:w="1185" w:type="dxa"/>
            <w:shd w:val="clear" w:color="auto" w:fill="auto"/>
            <w:tcMar>
              <w:top w:w="100" w:type="dxa"/>
              <w:left w:w="100" w:type="dxa"/>
              <w:bottom w:w="100" w:type="dxa"/>
              <w:right w:w="100" w:type="dxa"/>
            </w:tcMar>
          </w:tcPr>
          <w:p w14:paraId="20B5C3B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RCT</w:t>
            </w:r>
          </w:p>
        </w:tc>
        <w:tc>
          <w:tcPr>
            <w:tcW w:w="3060" w:type="dxa"/>
            <w:shd w:val="clear" w:color="auto" w:fill="auto"/>
            <w:tcMar>
              <w:top w:w="100" w:type="dxa"/>
              <w:left w:w="100" w:type="dxa"/>
              <w:bottom w:w="100" w:type="dxa"/>
              <w:right w:w="100" w:type="dxa"/>
            </w:tcMar>
          </w:tcPr>
          <w:p w14:paraId="7822B1D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40. </w:t>
            </w:r>
            <w:r>
              <w:rPr>
                <w:rFonts w:ascii="Times New Roman" w:eastAsia="Times New Roman" w:hAnsi="Times New Roman" w:cs="Times New Roman"/>
                <w:sz w:val="16"/>
                <w:szCs w:val="16"/>
                <w:highlight w:val="white"/>
              </w:rPr>
              <w:t>Students (21 females) from University of Bergen and Bergen University college. Mean age was 22.1 years (range 19-32 years) and 22.5% reported playing games daily. 37.5 played 1 day a month or less.</w:t>
            </w:r>
          </w:p>
        </w:tc>
        <w:tc>
          <w:tcPr>
            <w:tcW w:w="1110" w:type="dxa"/>
            <w:shd w:val="clear" w:color="auto" w:fill="auto"/>
            <w:tcMar>
              <w:top w:w="100" w:type="dxa"/>
              <w:left w:w="100" w:type="dxa"/>
              <w:bottom w:w="100" w:type="dxa"/>
              <w:right w:w="100" w:type="dxa"/>
            </w:tcMar>
          </w:tcPr>
          <w:p w14:paraId="660CE42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Willingness to Continue, Willingness to Return to Play</w:t>
            </w:r>
          </w:p>
        </w:tc>
        <w:tc>
          <w:tcPr>
            <w:tcW w:w="1275" w:type="dxa"/>
            <w:shd w:val="clear" w:color="auto" w:fill="auto"/>
            <w:tcMar>
              <w:top w:w="100" w:type="dxa"/>
              <w:left w:w="100" w:type="dxa"/>
              <w:bottom w:w="100" w:type="dxa"/>
              <w:right w:w="100" w:type="dxa"/>
            </w:tcMar>
          </w:tcPr>
          <w:p w14:paraId="1798EF8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Game reward features (near-miss, size of </w:t>
            </w:r>
            <w:proofErr w:type="gramStart"/>
            <w:r>
              <w:rPr>
                <w:rFonts w:ascii="Times New Roman" w:eastAsia="Times New Roman" w:hAnsi="Times New Roman" w:cs="Times New Roman"/>
                <w:sz w:val="16"/>
                <w:szCs w:val="16"/>
                <w:highlight w:val="white"/>
              </w:rPr>
              <w:t>win,  punishment</w:t>
            </w:r>
            <w:proofErr w:type="gramEnd"/>
            <w:r>
              <w:rPr>
                <w:rFonts w:ascii="Times New Roman" w:eastAsia="Times New Roman" w:hAnsi="Times New Roman" w:cs="Times New Roman"/>
                <w:sz w:val="16"/>
                <w:szCs w:val="16"/>
                <w:highlight w:val="white"/>
              </w:rPr>
              <w:t xml:space="preserve"> features)</w:t>
            </w:r>
          </w:p>
        </w:tc>
        <w:tc>
          <w:tcPr>
            <w:tcW w:w="4620" w:type="dxa"/>
            <w:shd w:val="clear" w:color="auto" w:fill="auto"/>
            <w:tcMar>
              <w:top w:w="100" w:type="dxa"/>
              <w:left w:w="100" w:type="dxa"/>
              <w:bottom w:w="100" w:type="dxa"/>
              <w:right w:w="100" w:type="dxa"/>
            </w:tcMar>
          </w:tcPr>
          <w:p w14:paraId="612AD01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The size of win/loss is less significant than winning or losing. Participants enjoy more game </w:t>
            </w:r>
            <w:proofErr w:type="gramStart"/>
            <w:r>
              <w:rPr>
                <w:rFonts w:ascii="Times New Roman" w:eastAsia="Times New Roman" w:hAnsi="Times New Roman" w:cs="Times New Roman"/>
                <w:sz w:val="16"/>
                <w:szCs w:val="16"/>
                <w:highlight w:val="white"/>
              </w:rPr>
              <w:t>why</w:t>
            </w:r>
            <w:proofErr w:type="gramEnd"/>
            <w:r>
              <w:rPr>
                <w:rFonts w:ascii="Times New Roman" w:eastAsia="Times New Roman" w:hAnsi="Times New Roman" w:cs="Times New Roman"/>
                <w:sz w:val="16"/>
                <w:szCs w:val="16"/>
                <w:highlight w:val="white"/>
              </w:rPr>
              <w:t xml:space="preserve"> they win; punishment features make participants think they should have done something different. Near-miss features might only be present in specific types of games. Near miss was not associated with willingness to play.</w:t>
            </w:r>
          </w:p>
        </w:tc>
      </w:tr>
      <w:tr w:rsidR="00B862B4" w14:paraId="4D303008" w14:textId="77777777" w:rsidTr="003055DF">
        <w:tc>
          <w:tcPr>
            <w:tcW w:w="1065" w:type="dxa"/>
            <w:tcBorders>
              <w:top w:val="nil"/>
              <w:left w:val="nil"/>
              <w:bottom w:val="nil"/>
              <w:right w:val="nil"/>
            </w:tcBorders>
            <w:tcMar>
              <w:top w:w="40" w:type="dxa"/>
              <w:left w:w="40" w:type="dxa"/>
              <w:bottom w:w="40" w:type="dxa"/>
              <w:right w:w="40" w:type="dxa"/>
            </w:tcMar>
          </w:tcPr>
          <w:p w14:paraId="69EF527B"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Ghuman</w:t>
            </w:r>
            <w:proofErr w:type="spellEnd"/>
            <w:r>
              <w:rPr>
                <w:rFonts w:ascii="Times New Roman" w:eastAsia="Times New Roman" w:hAnsi="Times New Roman" w:cs="Times New Roman"/>
                <w:sz w:val="16"/>
                <w:szCs w:val="16"/>
              </w:rPr>
              <w:t xml:space="preserve"> &amp; Griffiths (2012)</w:t>
            </w:r>
          </w:p>
        </w:tc>
        <w:tc>
          <w:tcPr>
            <w:tcW w:w="1185" w:type="dxa"/>
            <w:shd w:val="clear" w:color="auto" w:fill="auto"/>
            <w:tcMar>
              <w:top w:w="100" w:type="dxa"/>
              <w:left w:w="100" w:type="dxa"/>
              <w:bottom w:w="100" w:type="dxa"/>
              <w:right w:w="100" w:type="dxa"/>
            </w:tcMar>
          </w:tcPr>
          <w:p w14:paraId="1D3C376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2A25B0B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The sample comprised 353 self-selected players (156 FPS players, 119 RPG players, and 78 RTS players). The sample was 90% male (n=320) and aged between 12 and 62 years with a mean age of 22.47 years (SD= 8.94 years). </w:t>
            </w:r>
          </w:p>
        </w:tc>
        <w:tc>
          <w:tcPr>
            <w:tcW w:w="1110" w:type="dxa"/>
            <w:shd w:val="clear" w:color="auto" w:fill="auto"/>
            <w:tcMar>
              <w:top w:w="100" w:type="dxa"/>
              <w:left w:w="100" w:type="dxa"/>
              <w:bottom w:w="100" w:type="dxa"/>
              <w:right w:w="100" w:type="dxa"/>
            </w:tcMar>
          </w:tcPr>
          <w:p w14:paraId="02F9884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Time Spent Gaming</w:t>
            </w:r>
          </w:p>
        </w:tc>
        <w:tc>
          <w:tcPr>
            <w:tcW w:w="1275" w:type="dxa"/>
            <w:shd w:val="clear" w:color="auto" w:fill="auto"/>
            <w:tcMar>
              <w:top w:w="100" w:type="dxa"/>
              <w:left w:w="100" w:type="dxa"/>
              <w:bottom w:w="100" w:type="dxa"/>
              <w:right w:w="100" w:type="dxa"/>
            </w:tcMar>
          </w:tcPr>
          <w:p w14:paraId="39EE6BF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Social features generally and genre</w:t>
            </w:r>
          </w:p>
        </w:tc>
        <w:tc>
          <w:tcPr>
            <w:tcW w:w="4620" w:type="dxa"/>
            <w:shd w:val="clear" w:color="auto" w:fill="auto"/>
            <w:tcMar>
              <w:top w:w="100" w:type="dxa"/>
              <w:left w:w="100" w:type="dxa"/>
              <w:bottom w:w="100" w:type="dxa"/>
              <w:right w:w="100" w:type="dxa"/>
            </w:tcMar>
          </w:tcPr>
          <w:p w14:paraId="0AB141A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The comparison between genres </w:t>
            </w:r>
            <w:proofErr w:type="gramStart"/>
            <w:r>
              <w:rPr>
                <w:rFonts w:ascii="Times New Roman" w:eastAsia="Times New Roman" w:hAnsi="Times New Roman" w:cs="Times New Roman"/>
                <w:sz w:val="16"/>
                <w:szCs w:val="16"/>
                <w:highlight w:val="white"/>
              </w:rPr>
              <w:t>are</w:t>
            </w:r>
            <w:proofErr w:type="gramEnd"/>
            <w:r>
              <w:rPr>
                <w:rFonts w:ascii="Times New Roman" w:eastAsia="Times New Roman" w:hAnsi="Times New Roman" w:cs="Times New Roman"/>
                <w:sz w:val="16"/>
                <w:szCs w:val="16"/>
                <w:highlight w:val="white"/>
              </w:rPr>
              <w:t xml:space="preserve"> not useful. In sum, </w:t>
            </w:r>
            <w:proofErr w:type="gramStart"/>
            <w:r>
              <w:rPr>
                <w:rFonts w:ascii="Times New Roman" w:eastAsia="Times New Roman" w:hAnsi="Times New Roman" w:cs="Times New Roman"/>
                <w:sz w:val="16"/>
                <w:szCs w:val="16"/>
                <w:highlight w:val="white"/>
              </w:rPr>
              <w:t>Those</w:t>
            </w:r>
            <w:proofErr w:type="gramEnd"/>
            <w:r>
              <w:rPr>
                <w:rFonts w:ascii="Times New Roman" w:eastAsia="Times New Roman" w:hAnsi="Times New Roman" w:cs="Times New Roman"/>
                <w:sz w:val="16"/>
                <w:szCs w:val="16"/>
                <w:highlight w:val="white"/>
              </w:rPr>
              <w:t xml:space="preserve"> playing RPGs had significantly more hours played than FPSs and RTSs. Number of 'good friends' predicted a significantly greater number of hours player.  </w:t>
            </w:r>
          </w:p>
        </w:tc>
      </w:tr>
      <w:tr w:rsidR="00B862B4" w14:paraId="49C63804" w14:textId="77777777" w:rsidTr="003055DF">
        <w:tc>
          <w:tcPr>
            <w:tcW w:w="1065" w:type="dxa"/>
            <w:tcBorders>
              <w:top w:val="nil"/>
              <w:left w:val="nil"/>
              <w:bottom w:val="nil"/>
              <w:right w:val="nil"/>
            </w:tcBorders>
            <w:tcMar>
              <w:top w:w="40" w:type="dxa"/>
              <w:left w:w="40" w:type="dxa"/>
              <w:bottom w:w="40" w:type="dxa"/>
              <w:right w:w="40" w:type="dxa"/>
            </w:tcMar>
          </w:tcPr>
          <w:p w14:paraId="4CAF7B9F"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Goh et al. (2017)</w:t>
            </w:r>
          </w:p>
        </w:tc>
        <w:tc>
          <w:tcPr>
            <w:tcW w:w="1185" w:type="dxa"/>
            <w:shd w:val="clear" w:color="auto" w:fill="auto"/>
            <w:tcMar>
              <w:top w:w="100" w:type="dxa"/>
              <w:left w:w="100" w:type="dxa"/>
              <w:bottom w:w="100" w:type="dxa"/>
              <w:right w:w="100" w:type="dxa"/>
            </w:tcMar>
          </w:tcPr>
          <w:p w14:paraId="03265F01" w14:textId="77777777" w:rsidR="00B862B4" w:rsidRDefault="00B862B4" w:rsidP="003055DF">
            <w:pPr>
              <w:widowControl w:val="0"/>
              <w:spacing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nRCT</w:t>
            </w:r>
            <w:proofErr w:type="spellEnd"/>
          </w:p>
        </w:tc>
        <w:tc>
          <w:tcPr>
            <w:tcW w:w="3060" w:type="dxa"/>
            <w:shd w:val="clear" w:color="auto" w:fill="auto"/>
            <w:tcMar>
              <w:top w:w="100" w:type="dxa"/>
              <w:left w:w="100" w:type="dxa"/>
              <w:bottom w:w="100" w:type="dxa"/>
              <w:right w:w="100" w:type="dxa"/>
            </w:tcMar>
          </w:tcPr>
          <w:p w14:paraId="72174D7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w:t>
            </w:r>
            <w:r>
              <w:rPr>
                <w:rFonts w:ascii="Times New Roman" w:eastAsia="Times New Roman" w:hAnsi="Times New Roman" w:cs="Times New Roman"/>
                <w:sz w:val="16"/>
                <w:szCs w:val="16"/>
                <w:highlight w:val="white"/>
              </w:rPr>
              <w:t xml:space="preserve">A total of 155 university participants (83 males and 72 females) with an average age of 26.93 were recruited for the present study. Most (64%) had used social network applications and shared in- formation using mobile devices. </w:t>
            </w:r>
            <w:proofErr w:type="gramStart"/>
            <w:r>
              <w:rPr>
                <w:rFonts w:ascii="Times New Roman" w:eastAsia="Times New Roman" w:hAnsi="Times New Roman" w:cs="Times New Roman"/>
                <w:sz w:val="16"/>
                <w:szCs w:val="16"/>
                <w:highlight w:val="white"/>
              </w:rPr>
              <w:t>The majority of</w:t>
            </w:r>
            <w:proofErr w:type="gramEnd"/>
            <w:r>
              <w:rPr>
                <w:rFonts w:ascii="Times New Roman" w:eastAsia="Times New Roman" w:hAnsi="Times New Roman" w:cs="Times New Roman"/>
                <w:sz w:val="16"/>
                <w:szCs w:val="16"/>
                <w:highlight w:val="white"/>
              </w:rPr>
              <w:t xml:space="preserve"> participants (67%) were online game players.</w:t>
            </w:r>
          </w:p>
        </w:tc>
        <w:tc>
          <w:tcPr>
            <w:tcW w:w="1110" w:type="dxa"/>
            <w:shd w:val="clear" w:color="auto" w:fill="auto"/>
            <w:tcMar>
              <w:top w:w="100" w:type="dxa"/>
              <w:left w:w="100" w:type="dxa"/>
              <w:bottom w:w="100" w:type="dxa"/>
              <w:right w:w="100" w:type="dxa"/>
            </w:tcMar>
          </w:tcPr>
          <w:p w14:paraId="0304304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Enjoyment</w:t>
            </w:r>
          </w:p>
        </w:tc>
        <w:tc>
          <w:tcPr>
            <w:tcW w:w="1275" w:type="dxa"/>
            <w:shd w:val="clear" w:color="auto" w:fill="auto"/>
            <w:tcMar>
              <w:top w:w="100" w:type="dxa"/>
              <w:left w:w="100" w:type="dxa"/>
              <w:bottom w:w="100" w:type="dxa"/>
              <w:right w:w="100" w:type="dxa"/>
            </w:tcMar>
          </w:tcPr>
          <w:p w14:paraId="52BD781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Leader board feature, experience points (XP) / leveling up</w:t>
            </w:r>
          </w:p>
        </w:tc>
        <w:tc>
          <w:tcPr>
            <w:tcW w:w="4620" w:type="dxa"/>
            <w:shd w:val="clear" w:color="auto" w:fill="auto"/>
            <w:tcMar>
              <w:top w:w="100" w:type="dxa"/>
              <w:left w:w="100" w:type="dxa"/>
              <w:bottom w:w="100" w:type="dxa"/>
              <w:right w:w="100" w:type="dxa"/>
            </w:tcMar>
          </w:tcPr>
          <w:p w14:paraId="49B5428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Participants in the badge condition showed the highest levels of enjoyment and intrinsic motivation, followed by participants in the points-based (Track) condition, both of which were significantly higher than the control condition. </w:t>
            </w:r>
          </w:p>
        </w:tc>
      </w:tr>
      <w:tr w:rsidR="00B862B4" w14:paraId="12F7B4D3" w14:textId="77777777" w:rsidTr="003055DF">
        <w:tc>
          <w:tcPr>
            <w:tcW w:w="1065" w:type="dxa"/>
            <w:tcBorders>
              <w:top w:val="nil"/>
              <w:left w:val="nil"/>
              <w:bottom w:val="nil"/>
              <w:right w:val="nil"/>
            </w:tcBorders>
            <w:tcMar>
              <w:top w:w="40" w:type="dxa"/>
              <w:left w:w="40" w:type="dxa"/>
              <w:bottom w:w="40" w:type="dxa"/>
              <w:right w:w="40" w:type="dxa"/>
            </w:tcMar>
          </w:tcPr>
          <w:p w14:paraId="545FDEC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Hall (2020)</w:t>
            </w:r>
          </w:p>
        </w:tc>
        <w:tc>
          <w:tcPr>
            <w:tcW w:w="1185" w:type="dxa"/>
            <w:shd w:val="clear" w:color="auto" w:fill="auto"/>
            <w:tcMar>
              <w:top w:w="100" w:type="dxa"/>
              <w:left w:w="100" w:type="dxa"/>
              <w:bottom w:w="100" w:type="dxa"/>
              <w:right w:w="100" w:type="dxa"/>
            </w:tcMar>
          </w:tcPr>
          <w:p w14:paraId="7CF22C4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719A155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619 participants completed the </w:t>
            </w:r>
            <w:proofErr w:type="gramStart"/>
            <w:r>
              <w:rPr>
                <w:rFonts w:ascii="Times New Roman" w:eastAsia="Times New Roman" w:hAnsi="Times New Roman" w:cs="Times New Roman"/>
                <w:sz w:val="16"/>
                <w:szCs w:val="16"/>
              </w:rPr>
              <w:t>survey</w:t>
            </w:r>
            <w:proofErr w:type="gramEnd"/>
            <w:r>
              <w:rPr>
                <w:rFonts w:ascii="Times New Roman" w:eastAsia="Times New Roman" w:hAnsi="Times New Roman" w:cs="Times New Roman"/>
                <w:sz w:val="16"/>
                <w:szCs w:val="16"/>
              </w:rPr>
              <w:t xml:space="preserve"> and 28 individuals were recruited for an interview. 62% of adults and 61% of youth self-identified as male. Adults who participated were ages 18–29 (55%), and the </w:t>
            </w:r>
            <w:r>
              <w:rPr>
                <w:rFonts w:ascii="Times New Roman" w:eastAsia="Times New Roman" w:hAnsi="Times New Roman" w:cs="Times New Roman"/>
                <w:sz w:val="16"/>
                <w:szCs w:val="16"/>
              </w:rPr>
              <w:lastRenderedPageBreak/>
              <w:t xml:space="preserve">majority of youth who participated </w:t>
            </w:r>
            <w:proofErr w:type="gramStart"/>
            <w:r>
              <w:rPr>
                <w:rFonts w:ascii="Times New Roman" w:eastAsia="Times New Roman" w:hAnsi="Times New Roman" w:cs="Times New Roman"/>
                <w:sz w:val="16"/>
                <w:szCs w:val="16"/>
              </w:rPr>
              <w:t>were  ages</w:t>
            </w:r>
            <w:proofErr w:type="gramEnd"/>
            <w:r>
              <w:rPr>
                <w:rFonts w:ascii="Times New Roman" w:eastAsia="Times New Roman" w:hAnsi="Times New Roman" w:cs="Times New Roman"/>
                <w:sz w:val="16"/>
                <w:szCs w:val="16"/>
              </w:rPr>
              <w:t xml:space="preserve">  15–17 (76%).</w:t>
            </w:r>
          </w:p>
        </w:tc>
        <w:tc>
          <w:tcPr>
            <w:tcW w:w="1110" w:type="dxa"/>
            <w:shd w:val="clear" w:color="auto" w:fill="auto"/>
            <w:tcMar>
              <w:top w:w="100" w:type="dxa"/>
              <w:left w:w="100" w:type="dxa"/>
              <w:bottom w:w="100" w:type="dxa"/>
              <w:right w:w="100" w:type="dxa"/>
            </w:tcMar>
          </w:tcPr>
          <w:p w14:paraId="3F3140D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Engagement, Enjoyment</w:t>
            </w:r>
          </w:p>
        </w:tc>
        <w:tc>
          <w:tcPr>
            <w:tcW w:w="1275" w:type="dxa"/>
            <w:shd w:val="clear" w:color="auto" w:fill="auto"/>
            <w:tcMar>
              <w:top w:w="100" w:type="dxa"/>
              <w:left w:w="100" w:type="dxa"/>
              <w:bottom w:w="100" w:type="dxa"/>
              <w:right w:w="100" w:type="dxa"/>
            </w:tcMar>
          </w:tcPr>
          <w:p w14:paraId="5F920FD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Storytelling Device Features</w:t>
            </w:r>
          </w:p>
        </w:tc>
        <w:tc>
          <w:tcPr>
            <w:tcW w:w="4620" w:type="dxa"/>
            <w:shd w:val="clear" w:color="auto" w:fill="auto"/>
            <w:tcMar>
              <w:top w:w="100" w:type="dxa"/>
              <w:left w:w="100" w:type="dxa"/>
              <w:bottom w:w="100" w:type="dxa"/>
              <w:right w:w="100" w:type="dxa"/>
            </w:tcMar>
          </w:tcPr>
          <w:p w14:paraId="01757AE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Being able to make choices as the character of a story seems to have led to enjoyment and engagement in the texts. Digital reading games offer ways to engage the reader that traditional reading might not.</w:t>
            </w:r>
          </w:p>
        </w:tc>
      </w:tr>
      <w:tr w:rsidR="00B862B4" w14:paraId="5BF24E18" w14:textId="77777777" w:rsidTr="003055DF">
        <w:tc>
          <w:tcPr>
            <w:tcW w:w="1065" w:type="dxa"/>
            <w:tcBorders>
              <w:top w:val="nil"/>
              <w:left w:val="nil"/>
              <w:bottom w:val="nil"/>
              <w:right w:val="nil"/>
            </w:tcBorders>
            <w:tcMar>
              <w:top w:w="40" w:type="dxa"/>
              <w:left w:w="40" w:type="dxa"/>
              <w:bottom w:w="40" w:type="dxa"/>
              <w:right w:w="40" w:type="dxa"/>
            </w:tcMar>
          </w:tcPr>
          <w:p w14:paraId="43E0C723"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Hallet</w:t>
            </w:r>
            <w:proofErr w:type="spellEnd"/>
            <w:r>
              <w:rPr>
                <w:rFonts w:ascii="Times New Roman" w:eastAsia="Times New Roman" w:hAnsi="Times New Roman" w:cs="Times New Roman"/>
                <w:sz w:val="16"/>
                <w:szCs w:val="16"/>
              </w:rPr>
              <w:t xml:space="preserve"> (2016)</w:t>
            </w:r>
          </w:p>
        </w:tc>
        <w:tc>
          <w:tcPr>
            <w:tcW w:w="1185" w:type="dxa"/>
            <w:shd w:val="clear" w:color="auto" w:fill="auto"/>
            <w:tcMar>
              <w:top w:w="100" w:type="dxa"/>
              <w:left w:w="100" w:type="dxa"/>
              <w:bottom w:w="100" w:type="dxa"/>
              <w:right w:w="100" w:type="dxa"/>
            </w:tcMar>
          </w:tcPr>
          <w:p w14:paraId="21446FC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3060" w:type="dxa"/>
            <w:shd w:val="clear" w:color="auto" w:fill="auto"/>
            <w:tcMar>
              <w:top w:w="100" w:type="dxa"/>
              <w:left w:w="100" w:type="dxa"/>
              <w:bottom w:w="100" w:type="dxa"/>
              <w:right w:w="100" w:type="dxa"/>
            </w:tcMar>
          </w:tcPr>
          <w:p w14:paraId="59820B2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 </w:t>
            </w:r>
            <w:r>
              <w:rPr>
                <w:rFonts w:ascii="Times New Roman" w:eastAsia="Times New Roman" w:hAnsi="Times New Roman" w:cs="Times New Roman"/>
                <w:sz w:val="16"/>
                <w:szCs w:val="16"/>
                <w:highlight w:val="white"/>
              </w:rPr>
              <w:t xml:space="preserve">The researcher played games and completed questionnaire. </w:t>
            </w:r>
          </w:p>
        </w:tc>
        <w:tc>
          <w:tcPr>
            <w:tcW w:w="1110" w:type="dxa"/>
            <w:shd w:val="clear" w:color="auto" w:fill="auto"/>
            <w:tcMar>
              <w:top w:w="100" w:type="dxa"/>
              <w:left w:w="100" w:type="dxa"/>
              <w:bottom w:w="100" w:type="dxa"/>
              <w:right w:w="100" w:type="dxa"/>
            </w:tcMar>
          </w:tcPr>
          <w:p w14:paraId="6CF29E6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Immersion</w:t>
            </w:r>
          </w:p>
        </w:tc>
        <w:tc>
          <w:tcPr>
            <w:tcW w:w="1275" w:type="dxa"/>
            <w:shd w:val="clear" w:color="auto" w:fill="auto"/>
            <w:tcMar>
              <w:top w:w="100" w:type="dxa"/>
              <w:left w:w="100" w:type="dxa"/>
              <w:bottom w:w="100" w:type="dxa"/>
              <w:right w:w="100" w:type="dxa"/>
            </w:tcMar>
          </w:tcPr>
          <w:p w14:paraId="32B48B7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Sound</w:t>
            </w:r>
          </w:p>
        </w:tc>
        <w:tc>
          <w:tcPr>
            <w:tcW w:w="4620" w:type="dxa"/>
            <w:shd w:val="clear" w:color="auto" w:fill="auto"/>
            <w:tcMar>
              <w:top w:w="100" w:type="dxa"/>
              <w:left w:w="100" w:type="dxa"/>
              <w:bottom w:w="100" w:type="dxa"/>
              <w:right w:w="100" w:type="dxa"/>
            </w:tcMar>
          </w:tcPr>
          <w:p w14:paraId="53576CB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Music was ranked highest in </w:t>
            </w:r>
            <w:proofErr w:type="spellStart"/>
            <w:r>
              <w:rPr>
                <w:rFonts w:ascii="Times New Roman" w:eastAsia="Times New Roman" w:hAnsi="Times New Roman" w:cs="Times New Roman"/>
                <w:sz w:val="16"/>
                <w:szCs w:val="16"/>
                <w:highlight w:val="white"/>
              </w:rPr>
              <w:t>percieved</w:t>
            </w:r>
            <w:proofErr w:type="spellEnd"/>
            <w:r>
              <w:rPr>
                <w:rFonts w:ascii="Times New Roman" w:eastAsia="Times New Roman" w:hAnsi="Times New Roman" w:cs="Times New Roman"/>
                <w:sz w:val="16"/>
                <w:szCs w:val="16"/>
                <w:highlight w:val="white"/>
              </w:rPr>
              <w:t xml:space="preserve"> aesthetic qualities of both games.  The most immersive element of the soundtracks was the sound effects. Overall, the greatest aesthetic values to increase immersion were the music and sound effects, and sound effects were the most immersive quality. Strong dialogue was also related to increased immersion. </w:t>
            </w:r>
          </w:p>
        </w:tc>
      </w:tr>
      <w:tr w:rsidR="00B862B4" w14:paraId="285E5CBB" w14:textId="77777777" w:rsidTr="003055DF">
        <w:tc>
          <w:tcPr>
            <w:tcW w:w="1065" w:type="dxa"/>
            <w:tcBorders>
              <w:top w:val="nil"/>
              <w:left w:val="nil"/>
              <w:bottom w:val="nil"/>
              <w:right w:val="nil"/>
            </w:tcBorders>
            <w:tcMar>
              <w:top w:w="40" w:type="dxa"/>
              <w:left w:w="40" w:type="dxa"/>
              <w:bottom w:w="40" w:type="dxa"/>
              <w:right w:w="40" w:type="dxa"/>
            </w:tcMar>
          </w:tcPr>
          <w:p w14:paraId="79AACF99"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Herodotou</w:t>
            </w:r>
            <w:proofErr w:type="spellEnd"/>
            <w:r>
              <w:rPr>
                <w:rFonts w:ascii="Times New Roman" w:eastAsia="Times New Roman" w:hAnsi="Times New Roman" w:cs="Times New Roman"/>
                <w:sz w:val="16"/>
                <w:szCs w:val="16"/>
              </w:rPr>
              <w:t xml:space="preserve"> et al. (2014)</w:t>
            </w:r>
          </w:p>
        </w:tc>
        <w:tc>
          <w:tcPr>
            <w:tcW w:w="1185" w:type="dxa"/>
            <w:shd w:val="clear" w:color="auto" w:fill="auto"/>
            <w:tcMar>
              <w:top w:w="100" w:type="dxa"/>
              <w:left w:w="100" w:type="dxa"/>
              <w:bottom w:w="100" w:type="dxa"/>
              <w:right w:w="100" w:type="dxa"/>
            </w:tcMar>
          </w:tcPr>
          <w:p w14:paraId="28EB1B7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5E8979D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1051 (study 1) and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13 (study 2).  </w:t>
            </w:r>
            <w:r>
              <w:rPr>
                <w:rFonts w:ascii="Times New Roman" w:eastAsia="Times New Roman" w:hAnsi="Times New Roman" w:cs="Times New Roman"/>
                <w:sz w:val="16"/>
                <w:szCs w:val="16"/>
                <w:highlight w:val="white"/>
              </w:rPr>
              <w:t>96% males and 4% females. More than 80% were between 16 and 25 years old.</w:t>
            </w:r>
          </w:p>
        </w:tc>
        <w:tc>
          <w:tcPr>
            <w:tcW w:w="1110" w:type="dxa"/>
            <w:shd w:val="clear" w:color="auto" w:fill="auto"/>
            <w:tcMar>
              <w:top w:w="100" w:type="dxa"/>
              <w:left w:w="100" w:type="dxa"/>
              <w:bottom w:w="100" w:type="dxa"/>
              <w:right w:w="100" w:type="dxa"/>
            </w:tcMar>
          </w:tcPr>
          <w:p w14:paraId="5B15517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w:t>
            </w:r>
          </w:p>
        </w:tc>
        <w:tc>
          <w:tcPr>
            <w:tcW w:w="1275" w:type="dxa"/>
            <w:shd w:val="clear" w:color="auto" w:fill="auto"/>
            <w:tcMar>
              <w:top w:w="100" w:type="dxa"/>
              <w:left w:w="100" w:type="dxa"/>
              <w:bottom w:w="100" w:type="dxa"/>
              <w:right w:w="100" w:type="dxa"/>
            </w:tcMar>
          </w:tcPr>
          <w:p w14:paraId="5BE2A92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Guilds / clans / teams, multiplayer, avatar presence, experience points (XP) / leveling up</w:t>
            </w:r>
          </w:p>
        </w:tc>
        <w:tc>
          <w:tcPr>
            <w:tcW w:w="4620" w:type="dxa"/>
            <w:shd w:val="clear" w:color="auto" w:fill="auto"/>
            <w:tcMar>
              <w:top w:w="100" w:type="dxa"/>
              <w:left w:w="100" w:type="dxa"/>
              <w:bottom w:w="100" w:type="dxa"/>
              <w:right w:w="100" w:type="dxa"/>
            </w:tcMar>
          </w:tcPr>
          <w:p w14:paraId="217F369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In-game social features, game design, leveling up, franchise features were associated with the corresponding outcome variables.</w:t>
            </w:r>
          </w:p>
        </w:tc>
      </w:tr>
      <w:tr w:rsidR="00B862B4" w14:paraId="49E0782F" w14:textId="77777777" w:rsidTr="003055DF">
        <w:tc>
          <w:tcPr>
            <w:tcW w:w="1065" w:type="dxa"/>
            <w:tcBorders>
              <w:top w:val="nil"/>
              <w:left w:val="nil"/>
              <w:bottom w:val="nil"/>
              <w:right w:val="nil"/>
            </w:tcBorders>
            <w:tcMar>
              <w:top w:w="40" w:type="dxa"/>
              <w:left w:w="40" w:type="dxa"/>
              <w:bottom w:w="40" w:type="dxa"/>
              <w:right w:w="40" w:type="dxa"/>
            </w:tcMar>
          </w:tcPr>
          <w:p w14:paraId="471840E8"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Hsu &amp; Wang (2018)</w:t>
            </w:r>
          </w:p>
        </w:tc>
        <w:tc>
          <w:tcPr>
            <w:tcW w:w="1185" w:type="dxa"/>
            <w:shd w:val="clear" w:color="auto" w:fill="auto"/>
            <w:tcMar>
              <w:top w:w="100" w:type="dxa"/>
              <w:left w:w="100" w:type="dxa"/>
              <w:bottom w:w="100" w:type="dxa"/>
              <w:right w:w="100" w:type="dxa"/>
            </w:tcMar>
          </w:tcPr>
          <w:p w14:paraId="087EEF5C" w14:textId="77777777" w:rsidR="00B862B4" w:rsidRDefault="00B862B4" w:rsidP="003055DF">
            <w:pPr>
              <w:widowControl w:val="0"/>
              <w:spacing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nRCT</w:t>
            </w:r>
            <w:proofErr w:type="spellEnd"/>
          </w:p>
        </w:tc>
        <w:tc>
          <w:tcPr>
            <w:tcW w:w="3060" w:type="dxa"/>
            <w:shd w:val="clear" w:color="auto" w:fill="auto"/>
            <w:tcMar>
              <w:top w:w="100" w:type="dxa"/>
              <w:left w:w="100" w:type="dxa"/>
              <w:bottom w:w="100" w:type="dxa"/>
              <w:right w:w="100" w:type="dxa"/>
            </w:tcMar>
          </w:tcPr>
          <w:p w14:paraId="08B13F3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Nine fourth-grade elementary classes (</w:t>
            </w:r>
            <w:r>
              <w:rPr>
                <w:rFonts w:ascii="Times New Roman" w:eastAsia="Times New Roman" w:hAnsi="Times New Roman" w:cs="Times New Roman"/>
                <w:i/>
                <w:sz w:val="16"/>
                <w:szCs w:val="16"/>
                <w:highlight w:val="white"/>
              </w:rPr>
              <w:t>N</w:t>
            </w:r>
            <w:r>
              <w:rPr>
                <w:rFonts w:ascii="Times New Roman" w:eastAsia="Times New Roman" w:hAnsi="Times New Roman" w:cs="Times New Roman"/>
                <w:sz w:val="16"/>
                <w:szCs w:val="16"/>
                <w:highlight w:val="white"/>
              </w:rPr>
              <w:t xml:space="preserve"> = 242, ages 9–10) formed three different groups. The academic performances of students in these classes were similar. </w:t>
            </w:r>
          </w:p>
        </w:tc>
        <w:tc>
          <w:tcPr>
            <w:tcW w:w="1110" w:type="dxa"/>
            <w:shd w:val="clear" w:color="auto" w:fill="auto"/>
            <w:tcMar>
              <w:top w:w="100" w:type="dxa"/>
              <w:left w:w="100" w:type="dxa"/>
              <w:bottom w:w="100" w:type="dxa"/>
              <w:right w:w="100" w:type="dxa"/>
            </w:tcMar>
          </w:tcPr>
          <w:p w14:paraId="12D1F91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Engagement, Motivation</w:t>
            </w:r>
          </w:p>
        </w:tc>
        <w:tc>
          <w:tcPr>
            <w:tcW w:w="1275" w:type="dxa"/>
            <w:shd w:val="clear" w:color="auto" w:fill="auto"/>
            <w:tcMar>
              <w:top w:w="100" w:type="dxa"/>
              <w:left w:w="100" w:type="dxa"/>
              <w:bottom w:w="100" w:type="dxa"/>
              <w:right w:w="100" w:type="dxa"/>
            </w:tcMar>
          </w:tcPr>
          <w:p w14:paraId="1C4CD8D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Leader board feature, general reward type features, experience points (XP) / leveling up</w:t>
            </w:r>
          </w:p>
        </w:tc>
        <w:tc>
          <w:tcPr>
            <w:tcW w:w="4620" w:type="dxa"/>
            <w:shd w:val="clear" w:color="auto" w:fill="auto"/>
            <w:tcMar>
              <w:top w:w="100" w:type="dxa"/>
              <w:left w:w="100" w:type="dxa"/>
              <w:bottom w:w="100" w:type="dxa"/>
              <w:right w:w="100" w:type="dxa"/>
            </w:tcMar>
          </w:tcPr>
          <w:p w14:paraId="4B279DE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The results of comparing attitudes toward learning activities indicate that using game mechanics plus a student-generated questions strategy in an online puzzle-based game learning system can enhance engagement experiences and willingness to participate.</w:t>
            </w:r>
          </w:p>
        </w:tc>
      </w:tr>
      <w:tr w:rsidR="00B862B4" w14:paraId="21F57BD8" w14:textId="77777777" w:rsidTr="003055DF">
        <w:tc>
          <w:tcPr>
            <w:tcW w:w="1065" w:type="dxa"/>
            <w:tcBorders>
              <w:top w:val="nil"/>
              <w:left w:val="nil"/>
              <w:bottom w:val="nil"/>
              <w:right w:val="nil"/>
            </w:tcBorders>
            <w:tcMar>
              <w:top w:w="40" w:type="dxa"/>
              <w:left w:w="40" w:type="dxa"/>
              <w:bottom w:w="40" w:type="dxa"/>
              <w:right w:w="40" w:type="dxa"/>
            </w:tcMar>
          </w:tcPr>
          <w:p w14:paraId="436F8CCC"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Hussain &amp; Griffiths (2015)</w:t>
            </w:r>
          </w:p>
        </w:tc>
        <w:tc>
          <w:tcPr>
            <w:tcW w:w="1185" w:type="dxa"/>
            <w:shd w:val="clear" w:color="auto" w:fill="auto"/>
            <w:tcMar>
              <w:top w:w="100" w:type="dxa"/>
              <w:left w:w="100" w:type="dxa"/>
              <w:bottom w:w="100" w:type="dxa"/>
              <w:right w:w="100" w:type="dxa"/>
            </w:tcMar>
          </w:tcPr>
          <w:p w14:paraId="2979534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3060" w:type="dxa"/>
            <w:shd w:val="clear" w:color="auto" w:fill="auto"/>
            <w:tcMar>
              <w:top w:w="100" w:type="dxa"/>
              <w:left w:w="100" w:type="dxa"/>
              <w:bottom w:w="100" w:type="dxa"/>
              <w:right w:w="100" w:type="dxa"/>
            </w:tcMar>
          </w:tcPr>
          <w:p w14:paraId="2E7C136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71 online gamers (52 males and 19 females), ranged in age from 18 to 54 years (mean = 26.03; SD = 8.43 years). The mean gaming time per week was 18.9 hours (</w:t>
            </w:r>
            <w:r>
              <w:rPr>
                <w:rFonts w:ascii="Times New Roman" w:eastAsia="Times New Roman" w:hAnsi="Times New Roman" w:cs="Times New Roman"/>
                <w:i/>
                <w:sz w:val="16"/>
                <w:szCs w:val="16"/>
                <w:highlight w:val="white"/>
              </w:rPr>
              <w:t>SD</w:t>
            </w:r>
            <w:r>
              <w:rPr>
                <w:rFonts w:ascii="Times New Roman" w:eastAsia="Times New Roman" w:hAnsi="Times New Roman" w:cs="Times New Roman"/>
                <w:sz w:val="16"/>
                <w:szCs w:val="16"/>
                <w:highlight w:val="white"/>
              </w:rPr>
              <w:t xml:space="preserve"> = 15.3 hours). The mean years of gaming experience was 4.7 years (</w:t>
            </w:r>
            <w:r>
              <w:rPr>
                <w:rFonts w:ascii="Times New Roman" w:eastAsia="Times New Roman" w:hAnsi="Times New Roman" w:cs="Times New Roman"/>
                <w:i/>
                <w:sz w:val="16"/>
                <w:szCs w:val="16"/>
                <w:highlight w:val="white"/>
              </w:rPr>
              <w:t>SD</w:t>
            </w:r>
            <w:r>
              <w:rPr>
                <w:rFonts w:ascii="Times New Roman" w:eastAsia="Times New Roman" w:hAnsi="Times New Roman" w:cs="Times New Roman"/>
                <w:sz w:val="16"/>
                <w:szCs w:val="16"/>
                <w:highlight w:val="white"/>
              </w:rPr>
              <w:t xml:space="preserve"> = 3.1 years). </w:t>
            </w:r>
          </w:p>
        </w:tc>
        <w:tc>
          <w:tcPr>
            <w:tcW w:w="1110" w:type="dxa"/>
            <w:shd w:val="clear" w:color="auto" w:fill="auto"/>
            <w:tcMar>
              <w:top w:w="100" w:type="dxa"/>
              <w:left w:w="100" w:type="dxa"/>
              <w:bottom w:w="100" w:type="dxa"/>
              <w:right w:w="100" w:type="dxa"/>
            </w:tcMar>
          </w:tcPr>
          <w:p w14:paraId="6901E72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Gamer Attitudes</w:t>
            </w:r>
          </w:p>
        </w:tc>
        <w:tc>
          <w:tcPr>
            <w:tcW w:w="1275" w:type="dxa"/>
            <w:shd w:val="clear" w:color="auto" w:fill="auto"/>
            <w:tcMar>
              <w:top w:w="100" w:type="dxa"/>
              <w:left w:w="100" w:type="dxa"/>
              <w:bottom w:w="100" w:type="dxa"/>
              <w:right w:w="100" w:type="dxa"/>
            </w:tcMar>
          </w:tcPr>
          <w:p w14:paraId="090DC9F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Multiplayer, MMORPG, event duration features (never-ending play)</w:t>
            </w:r>
          </w:p>
        </w:tc>
        <w:tc>
          <w:tcPr>
            <w:tcW w:w="4620" w:type="dxa"/>
            <w:shd w:val="clear" w:color="auto" w:fill="auto"/>
            <w:tcMar>
              <w:top w:w="100" w:type="dxa"/>
              <w:left w:w="100" w:type="dxa"/>
              <w:bottom w:w="100" w:type="dxa"/>
              <w:right w:w="100" w:type="dxa"/>
            </w:tcMar>
          </w:tcPr>
          <w:p w14:paraId="7109D9C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Themes found from the analyses of the interview transcripts: (</w:t>
            </w:r>
            <w:proofErr w:type="spellStart"/>
            <w:r>
              <w:rPr>
                <w:rFonts w:ascii="Times New Roman" w:eastAsia="Times New Roman" w:hAnsi="Times New Roman" w:cs="Times New Roman"/>
                <w:sz w:val="16"/>
                <w:szCs w:val="16"/>
                <w:highlight w:val="white"/>
              </w:rPr>
              <w:t>i</w:t>
            </w:r>
            <w:proofErr w:type="spellEnd"/>
            <w:r>
              <w:rPr>
                <w:rFonts w:ascii="Times New Roman" w:eastAsia="Times New Roman" w:hAnsi="Times New Roman" w:cs="Times New Roman"/>
                <w:sz w:val="16"/>
                <w:szCs w:val="16"/>
                <w:highlight w:val="white"/>
              </w:rPr>
              <w:t>) engaging in social interaction, (ii) being part of a community, (iii) learning real-life skills, (iv) gaining in-game rewards, (v) playing never-ending games, (vi) escaping from real life, (vii) playing longer than intended, and (viii) being obligated towards other gamers in-game</w:t>
            </w:r>
          </w:p>
        </w:tc>
      </w:tr>
      <w:tr w:rsidR="00B862B4" w14:paraId="27CF2C0E" w14:textId="77777777" w:rsidTr="003055DF">
        <w:tc>
          <w:tcPr>
            <w:tcW w:w="1065" w:type="dxa"/>
            <w:tcBorders>
              <w:top w:val="nil"/>
              <w:left w:val="nil"/>
              <w:bottom w:val="nil"/>
              <w:right w:val="nil"/>
            </w:tcBorders>
            <w:tcMar>
              <w:top w:w="40" w:type="dxa"/>
              <w:left w:w="40" w:type="dxa"/>
              <w:bottom w:w="40" w:type="dxa"/>
              <w:right w:w="40" w:type="dxa"/>
            </w:tcMar>
          </w:tcPr>
          <w:p w14:paraId="619CD65F"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Hwa Hsu et al. (2005)</w:t>
            </w:r>
          </w:p>
        </w:tc>
        <w:tc>
          <w:tcPr>
            <w:tcW w:w="1185" w:type="dxa"/>
            <w:shd w:val="clear" w:color="auto" w:fill="auto"/>
            <w:tcMar>
              <w:top w:w="100" w:type="dxa"/>
              <w:left w:w="100" w:type="dxa"/>
              <w:bottom w:w="100" w:type="dxa"/>
              <w:right w:w="100" w:type="dxa"/>
            </w:tcMar>
          </w:tcPr>
          <w:p w14:paraId="58D8F09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Mixed</w:t>
            </w:r>
          </w:p>
        </w:tc>
        <w:tc>
          <w:tcPr>
            <w:tcW w:w="3060" w:type="dxa"/>
            <w:shd w:val="clear" w:color="auto" w:fill="auto"/>
            <w:tcMar>
              <w:top w:w="100" w:type="dxa"/>
              <w:left w:w="100" w:type="dxa"/>
              <w:bottom w:w="100" w:type="dxa"/>
              <w:right w:w="100" w:type="dxa"/>
            </w:tcMar>
          </w:tcPr>
          <w:p w14:paraId="1593019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16 (stage 1), </w:t>
            </w: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45 (stages 2 &amp; 3).</w:t>
            </w:r>
          </w:p>
        </w:tc>
        <w:tc>
          <w:tcPr>
            <w:tcW w:w="1110" w:type="dxa"/>
            <w:shd w:val="clear" w:color="auto" w:fill="auto"/>
            <w:tcMar>
              <w:top w:w="100" w:type="dxa"/>
              <w:left w:w="100" w:type="dxa"/>
              <w:bottom w:w="100" w:type="dxa"/>
              <w:right w:w="100" w:type="dxa"/>
            </w:tcMar>
          </w:tcPr>
          <w:p w14:paraId="43B1AA5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Fun, Appealing to Buyers</w:t>
            </w:r>
          </w:p>
        </w:tc>
        <w:tc>
          <w:tcPr>
            <w:tcW w:w="1275" w:type="dxa"/>
            <w:shd w:val="clear" w:color="auto" w:fill="auto"/>
            <w:tcMar>
              <w:top w:w="100" w:type="dxa"/>
              <w:left w:w="100" w:type="dxa"/>
              <w:bottom w:w="100" w:type="dxa"/>
              <w:right w:w="100" w:type="dxa"/>
            </w:tcMar>
          </w:tcPr>
          <w:p w14:paraId="11DFCDC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General socialization features, avatar presence, in-game resource feedback features</w:t>
            </w:r>
          </w:p>
        </w:tc>
        <w:tc>
          <w:tcPr>
            <w:tcW w:w="4620" w:type="dxa"/>
            <w:shd w:val="clear" w:color="auto" w:fill="auto"/>
            <w:tcMar>
              <w:top w:w="100" w:type="dxa"/>
              <w:left w:w="100" w:type="dxa"/>
              <w:bottom w:w="100" w:type="dxa"/>
              <w:right w:w="100" w:type="dxa"/>
            </w:tcMar>
          </w:tcPr>
          <w:p w14:paraId="51E70C4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Identified fun features, and the top five were 1) scenario is dramatic, 2) “character’s style is similar to mine”, 3) “opponent is competitive” 4) "Character looks like a real person” 5) “Weapons are powerful.” </w:t>
            </w:r>
          </w:p>
        </w:tc>
      </w:tr>
      <w:tr w:rsidR="00B862B4" w14:paraId="3D6C0D1C" w14:textId="77777777" w:rsidTr="003055DF">
        <w:tc>
          <w:tcPr>
            <w:tcW w:w="1065" w:type="dxa"/>
            <w:tcBorders>
              <w:top w:val="nil"/>
              <w:left w:val="nil"/>
              <w:bottom w:val="nil"/>
              <w:right w:val="nil"/>
            </w:tcBorders>
            <w:tcMar>
              <w:top w:w="40" w:type="dxa"/>
              <w:left w:w="40" w:type="dxa"/>
              <w:bottom w:w="40" w:type="dxa"/>
              <w:right w:w="40" w:type="dxa"/>
            </w:tcMar>
          </w:tcPr>
          <w:p w14:paraId="51D9DF44"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Jin (2009)</w:t>
            </w:r>
          </w:p>
        </w:tc>
        <w:tc>
          <w:tcPr>
            <w:tcW w:w="1185" w:type="dxa"/>
            <w:shd w:val="clear" w:color="auto" w:fill="auto"/>
            <w:tcMar>
              <w:top w:w="100" w:type="dxa"/>
              <w:left w:w="100" w:type="dxa"/>
              <w:bottom w:w="100" w:type="dxa"/>
              <w:right w:w="100" w:type="dxa"/>
            </w:tcMar>
          </w:tcPr>
          <w:p w14:paraId="2E5706C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5BACAAC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301. </w:t>
            </w:r>
            <w:r>
              <w:rPr>
                <w:rFonts w:ascii="Times New Roman" w:eastAsia="Times New Roman" w:hAnsi="Times New Roman" w:cs="Times New Roman"/>
                <w:sz w:val="16"/>
                <w:szCs w:val="16"/>
                <w:highlight w:val="white"/>
              </w:rPr>
              <w:t xml:space="preserve">Participants ranged in age from 18 to 49 (M = 21.95, </w:t>
            </w:r>
            <w:proofErr w:type="spellStart"/>
            <w:r>
              <w:rPr>
                <w:rFonts w:ascii="Times New Roman" w:eastAsia="Times New Roman" w:hAnsi="Times New Roman" w:cs="Times New Roman"/>
                <w:sz w:val="16"/>
                <w:szCs w:val="16"/>
                <w:highlight w:val="white"/>
              </w:rPr>
              <w:t>Mdn</w:t>
            </w:r>
            <w:proofErr w:type="spellEnd"/>
            <w:r>
              <w:rPr>
                <w:rFonts w:ascii="Times New Roman" w:eastAsia="Times New Roman" w:hAnsi="Times New Roman" w:cs="Times New Roman"/>
                <w:sz w:val="16"/>
                <w:szCs w:val="16"/>
                <w:highlight w:val="white"/>
              </w:rPr>
              <w:t xml:space="preserve"> = 21), with 84% between 18 and 24 years old. By gender, 29% (88) were female and 70% (210) were male, with 1% (3) opting not to share this information.</w:t>
            </w:r>
          </w:p>
        </w:tc>
        <w:tc>
          <w:tcPr>
            <w:tcW w:w="1110" w:type="dxa"/>
            <w:shd w:val="clear" w:color="auto" w:fill="auto"/>
            <w:tcMar>
              <w:top w:w="100" w:type="dxa"/>
              <w:left w:w="100" w:type="dxa"/>
              <w:bottom w:w="100" w:type="dxa"/>
              <w:right w:w="100" w:type="dxa"/>
            </w:tcMar>
          </w:tcPr>
          <w:p w14:paraId="0A2193D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Immersion</w:t>
            </w:r>
          </w:p>
        </w:tc>
        <w:tc>
          <w:tcPr>
            <w:tcW w:w="1275" w:type="dxa"/>
            <w:shd w:val="clear" w:color="auto" w:fill="auto"/>
            <w:tcMar>
              <w:top w:w="100" w:type="dxa"/>
              <w:left w:w="100" w:type="dxa"/>
              <w:bottom w:w="100" w:type="dxa"/>
              <w:right w:w="100" w:type="dxa"/>
            </w:tcMar>
          </w:tcPr>
          <w:p w14:paraId="4531E51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Avatar creation</w:t>
            </w:r>
          </w:p>
        </w:tc>
        <w:tc>
          <w:tcPr>
            <w:tcW w:w="4620" w:type="dxa"/>
            <w:shd w:val="clear" w:color="auto" w:fill="auto"/>
            <w:tcMar>
              <w:top w:w="100" w:type="dxa"/>
              <w:left w:w="100" w:type="dxa"/>
              <w:bottom w:w="100" w:type="dxa"/>
              <w:right w:w="100" w:type="dxa"/>
            </w:tcMar>
          </w:tcPr>
          <w:p w14:paraId="262D92F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Game players who created an avatar reflecting the ideal </w:t>
            </w:r>
            <w:proofErr w:type="spellStart"/>
            <w:r>
              <w:rPr>
                <w:rFonts w:ascii="Times New Roman" w:eastAsia="Times New Roman" w:hAnsi="Times New Roman" w:cs="Times New Roman"/>
                <w:sz w:val="16"/>
                <w:szCs w:val="16"/>
              </w:rPr>
              <w:t>self perceived</w:t>
            </w:r>
            <w:proofErr w:type="spellEnd"/>
            <w:r>
              <w:rPr>
                <w:rFonts w:ascii="Times New Roman" w:eastAsia="Times New Roman" w:hAnsi="Times New Roman" w:cs="Times New Roman"/>
                <w:sz w:val="16"/>
                <w:szCs w:val="16"/>
              </w:rPr>
              <w:t xml:space="preserve"> the video game playing experience to be more interactive than those who created an avatar accurately mirroring the actual self. Game players primed with hope and primed to create an avatar accurately mirroring the actual </w:t>
            </w:r>
            <w:proofErr w:type="spellStart"/>
            <w:r>
              <w:rPr>
                <w:rFonts w:ascii="Times New Roman" w:eastAsia="Times New Roman" w:hAnsi="Times New Roman" w:cs="Times New Roman"/>
                <w:sz w:val="16"/>
                <w:szCs w:val="16"/>
              </w:rPr>
              <w:t>self reported</w:t>
            </w:r>
            <w:proofErr w:type="spellEnd"/>
            <w:r>
              <w:rPr>
                <w:rFonts w:ascii="Times New Roman" w:eastAsia="Times New Roman" w:hAnsi="Times New Roman" w:cs="Times New Roman"/>
                <w:sz w:val="16"/>
                <w:szCs w:val="16"/>
              </w:rPr>
              <w:t xml:space="preserve"> greater immersion during game play than did those primed with hope and primed to </w:t>
            </w:r>
            <w:r>
              <w:rPr>
                <w:rFonts w:ascii="Times New Roman" w:eastAsia="Times New Roman" w:hAnsi="Times New Roman" w:cs="Times New Roman"/>
                <w:sz w:val="16"/>
                <w:szCs w:val="16"/>
              </w:rPr>
              <w:lastRenderedPageBreak/>
              <w:t>create an avatar reflecting the ideal self.</w:t>
            </w:r>
          </w:p>
        </w:tc>
      </w:tr>
      <w:tr w:rsidR="00B862B4" w14:paraId="2ABC2787" w14:textId="77777777" w:rsidTr="003055DF">
        <w:tc>
          <w:tcPr>
            <w:tcW w:w="1065" w:type="dxa"/>
            <w:tcBorders>
              <w:top w:val="nil"/>
              <w:left w:val="nil"/>
              <w:bottom w:val="nil"/>
              <w:right w:val="nil"/>
            </w:tcBorders>
            <w:tcMar>
              <w:top w:w="40" w:type="dxa"/>
              <w:left w:w="40" w:type="dxa"/>
              <w:bottom w:w="40" w:type="dxa"/>
              <w:right w:w="40" w:type="dxa"/>
            </w:tcMar>
          </w:tcPr>
          <w:p w14:paraId="753FBCEA"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Kang et al. (2020)</w:t>
            </w:r>
          </w:p>
        </w:tc>
        <w:tc>
          <w:tcPr>
            <w:tcW w:w="1185" w:type="dxa"/>
            <w:shd w:val="clear" w:color="auto" w:fill="auto"/>
            <w:tcMar>
              <w:top w:w="100" w:type="dxa"/>
              <w:left w:w="100" w:type="dxa"/>
              <w:bottom w:w="100" w:type="dxa"/>
              <w:right w:w="100" w:type="dxa"/>
            </w:tcMar>
          </w:tcPr>
          <w:p w14:paraId="293F63B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7FE1C72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531. </w:t>
            </w:r>
            <w:r>
              <w:rPr>
                <w:rFonts w:ascii="Times New Roman" w:eastAsia="Times New Roman" w:hAnsi="Times New Roman" w:cs="Times New Roman"/>
                <w:sz w:val="16"/>
                <w:szCs w:val="16"/>
                <w:highlight w:val="white"/>
              </w:rPr>
              <w:t xml:space="preserve">Male = 179, Female =122. 65.78% were between 18 and 35. Rest of sample was either below 18 (19.27%) or above 35 (14.95%). Presumably Chinese. </w:t>
            </w:r>
          </w:p>
        </w:tc>
        <w:tc>
          <w:tcPr>
            <w:tcW w:w="1110" w:type="dxa"/>
            <w:shd w:val="clear" w:color="auto" w:fill="auto"/>
            <w:tcMar>
              <w:top w:w="100" w:type="dxa"/>
              <w:left w:w="100" w:type="dxa"/>
              <w:bottom w:w="100" w:type="dxa"/>
              <w:right w:w="100" w:type="dxa"/>
            </w:tcMar>
          </w:tcPr>
          <w:p w14:paraId="13A3568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Flow, Engagement, Willingness to Continue</w:t>
            </w:r>
          </w:p>
        </w:tc>
        <w:tc>
          <w:tcPr>
            <w:tcW w:w="1275" w:type="dxa"/>
            <w:shd w:val="clear" w:color="auto" w:fill="auto"/>
            <w:tcMar>
              <w:top w:w="100" w:type="dxa"/>
              <w:left w:w="100" w:type="dxa"/>
              <w:bottom w:w="100" w:type="dxa"/>
              <w:right w:w="100" w:type="dxa"/>
            </w:tcMar>
          </w:tcPr>
          <w:p w14:paraId="7C3A533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Platform of the game, general social features </w:t>
            </w:r>
          </w:p>
        </w:tc>
        <w:tc>
          <w:tcPr>
            <w:tcW w:w="4620" w:type="dxa"/>
            <w:shd w:val="clear" w:color="auto" w:fill="auto"/>
            <w:tcMar>
              <w:top w:w="100" w:type="dxa"/>
              <w:left w:w="100" w:type="dxa"/>
              <w:bottom w:w="100" w:type="dxa"/>
              <w:right w:w="100" w:type="dxa"/>
            </w:tcMar>
          </w:tcPr>
          <w:p w14:paraId="6497B30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PC users are more likely to be more immersed and therefore experience flow, which is associated with greater engagement. However, mobile devices have a greater perceived ease of use, which positively </w:t>
            </w:r>
            <w:proofErr w:type="spellStart"/>
            <w:r>
              <w:rPr>
                <w:rFonts w:ascii="Times New Roman" w:eastAsia="Times New Roman" w:hAnsi="Times New Roman" w:cs="Times New Roman"/>
                <w:sz w:val="16"/>
                <w:szCs w:val="16"/>
                <w:highlight w:val="white"/>
              </w:rPr>
              <w:t>infuences</w:t>
            </w:r>
            <w:proofErr w:type="spellEnd"/>
            <w:r>
              <w:rPr>
                <w:rFonts w:ascii="Times New Roman" w:eastAsia="Times New Roman" w:hAnsi="Times New Roman" w:cs="Times New Roman"/>
                <w:sz w:val="16"/>
                <w:szCs w:val="16"/>
                <w:highlight w:val="white"/>
              </w:rPr>
              <w:t xml:space="preserve"> engagement. The online social feature is positively associated with engagement. Both perceived control and ease of use are also positively associated with engagement.</w:t>
            </w:r>
          </w:p>
        </w:tc>
      </w:tr>
      <w:tr w:rsidR="00B862B4" w14:paraId="442010C6" w14:textId="77777777" w:rsidTr="003055DF">
        <w:tc>
          <w:tcPr>
            <w:tcW w:w="1065" w:type="dxa"/>
            <w:tcBorders>
              <w:top w:val="nil"/>
              <w:left w:val="nil"/>
              <w:bottom w:val="nil"/>
              <w:right w:val="nil"/>
            </w:tcBorders>
            <w:tcMar>
              <w:top w:w="40" w:type="dxa"/>
              <w:left w:w="40" w:type="dxa"/>
              <w:bottom w:w="40" w:type="dxa"/>
              <w:right w:w="40" w:type="dxa"/>
            </w:tcMar>
          </w:tcPr>
          <w:p w14:paraId="0F4535EB"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Kim et al. (2015)</w:t>
            </w:r>
          </w:p>
        </w:tc>
        <w:tc>
          <w:tcPr>
            <w:tcW w:w="1185" w:type="dxa"/>
            <w:shd w:val="clear" w:color="auto" w:fill="auto"/>
            <w:tcMar>
              <w:top w:w="100" w:type="dxa"/>
              <w:left w:w="100" w:type="dxa"/>
              <w:bottom w:w="100" w:type="dxa"/>
              <w:right w:w="100" w:type="dxa"/>
            </w:tcMar>
          </w:tcPr>
          <w:p w14:paraId="6D3243F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RCT</w:t>
            </w:r>
          </w:p>
        </w:tc>
        <w:tc>
          <w:tcPr>
            <w:tcW w:w="3060" w:type="dxa"/>
            <w:shd w:val="clear" w:color="auto" w:fill="auto"/>
            <w:tcMar>
              <w:top w:w="100" w:type="dxa"/>
              <w:left w:w="100" w:type="dxa"/>
              <w:bottom w:w="100" w:type="dxa"/>
              <w:right w:w="100" w:type="dxa"/>
            </w:tcMar>
          </w:tcPr>
          <w:p w14:paraId="3C668BD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In study 1, 165 undergraduate students from communication courses, none focusing on video games or media effects. </w:t>
            </w:r>
            <w:proofErr w:type="gramStart"/>
            <w:r>
              <w:rPr>
                <w:rFonts w:ascii="Times New Roman" w:eastAsia="Times New Roman" w:hAnsi="Times New Roman" w:cs="Times New Roman"/>
                <w:sz w:val="16"/>
                <w:szCs w:val="16"/>
              </w:rPr>
              <w:t>The majority of</w:t>
            </w:r>
            <w:proofErr w:type="gramEnd"/>
            <w:r>
              <w:rPr>
                <w:rFonts w:ascii="Times New Roman" w:eastAsia="Times New Roman" w:hAnsi="Times New Roman" w:cs="Times New Roman"/>
                <w:sz w:val="16"/>
                <w:szCs w:val="16"/>
              </w:rPr>
              <w:t xml:space="preserve"> participants were female (76.45%), and all ranged in age from 18 to 28 (M = 20.04, SD = 1.15). In study 2, </w:t>
            </w:r>
            <w:r>
              <w:rPr>
                <w:rFonts w:ascii="Times New Roman" w:eastAsia="Times New Roman" w:hAnsi="Times New Roman" w:cs="Times New Roman"/>
                <w:sz w:val="16"/>
                <w:szCs w:val="16"/>
                <w:highlight w:val="white"/>
              </w:rPr>
              <w:t>90 undergraduate students from a communications class were recruited.</w:t>
            </w:r>
          </w:p>
        </w:tc>
        <w:tc>
          <w:tcPr>
            <w:tcW w:w="1110" w:type="dxa"/>
            <w:shd w:val="clear" w:color="auto" w:fill="auto"/>
            <w:tcMar>
              <w:top w:w="100" w:type="dxa"/>
              <w:left w:w="100" w:type="dxa"/>
              <w:bottom w:w="100" w:type="dxa"/>
              <w:right w:w="100" w:type="dxa"/>
            </w:tcMar>
          </w:tcPr>
          <w:p w14:paraId="4510600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Enjoyment</w:t>
            </w:r>
          </w:p>
        </w:tc>
        <w:tc>
          <w:tcPr>
            <w:tcW w:w="1275" w:type="dxa"/>
            <w:shd w:val="clear" w:color="auto" w:fill="auto"/>
            <w:tcMar>
              <w:top w:w="100" w:type="dxa"/>
              <w:left w:w="100" w:type="dxa"/>
              <w:bottom w:w="100" w:type="dxa"/>
              <w:right w:w="100" w:type="dxa"/>
            </w:tcMar>
          </w:tcPr>
          <w:p w14:paraId="2041802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Avatar customizability</w:t>
            </w:r>
          </w:p>
        </w:tc>
        <w:tc>
          <w:tcPr>
            <w:tcW w:w="4620" w:type="dxa"/>
            <w:shd w:val="clear" w:color="auto" w:fill="auto"/>
            <w:tcMar>
              <w:top w:w="100" w:type="dxa"/>
              <w:left w:w="100" w:type="dxa"/>
              <w:bottom w:w="100" w:type="dxa"/>
              <w:right w:w="100" w:type="dxa"/>
            </w:tcMar>
          </w:tcPr>
          <w:p w14:paraId="0BDD4EA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Using functional customization evoked feelings of autonomy and </w:t>
            </w:r>
            <w:proofErr w:type="gramStart"/>
            <w:r>
              <w:rPr>
                <w:rFonts w:ascii="Times New Roman" w:eastAsia="Times New Roman" w:hAnsi="Times New Roman" w:cs="Times New Roman"/>
                <w:sz w:val="16"/>
                <w:szCs w:val="16"/>
                <w:highlight w:val="white"/>
              </w:rPr>
              <w:t>control, but</w:t>
            </w:r>
            <w:proofErr w:type="gramEnd"/>
            <w:r>
              <w:rPr>
                <w:rFonts w:ascii="Times New Roman" w:eastAsia="Times New Roman" w:hAnsi="Times New Roman" w:cs="Times New Roman"/>
                <w:sz w:val="16"/>
                <w:szCs w:val="16"/>
                <w:highlight w:val="white"/>
              </w:rPr>
              <w:t xml:space="preserve"> failed to create a sense of attachment to an in-game character. Feelings of autonomy and control directly influenced game enjoyment. People using aesthetic customization reported a greater sense of autonomy than those in the non-customization condition. Perceived autonomy had a direct influence on perceived game enjoyment, though this effect did not reach statistical significance.</w:t>
            </w:r>
          </w:p>
        </w:tc>
      </w:tr>
      <w:tr w:rsidR="00B862B4" w14:paraId="42B350F1" w14:textId="77777777" w:rsidTr="003055DF">
        <w:tc>
          <w:tcPr>
            <w:tcW w:w="1065" w:type="dxa"/>
            <w:tcMar>
              <w:top w:w="40" w:type="dxa"/>
              <w:left w:w="40" w:type="dxa"/>
              <w:bottom w:w="40" w:type="dxa"/>
              <w:right w:w="40" w:type="dxa"/>
            </w:tcMar>
          </w:tcPr>
          <w:p w14:paraId="1D30522D"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Klimmt</w:t>
            </w:r>
            <w:proofErr w:type="spellEnd"/>
            <w:r>
              <w:rPr>
                <w:rFonts w:ascii="Times New Roman" w:eastAsia="Times New Roman" w:hAnsi="Times New Roman" w:cs="Times New Roman"/>
                <w:sz w:val="16"/>
                <w:szCs w:val="16"/>
              </w:rPr>
              <w:t xml:space="preserve"> et al. (2009)</w:t>
            </w:r>
          </w:p>
        </w:tc>
        <w:tc>
          <w:tcPr>
            <w:tcW w:w="1185" w:type="dxa"/>
            <w:shd w:val="clear" w:color="auto" w:fill="auto"/>
            <w:tcMar>
              <w:top w:w="100" w:type="dxa"/>
              <w:left w:w="100" w:type="dxa"/>
              <w:bottom w:w="100" w:type="dxa"/>
              <w:right w:w="100" w:type="dxa"/>
            </w:tcMar>
          </w:tcPr>
          <w:p w14:paraId="61CD3E7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19E17AC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8,203 </w:t>
            </w:r>
            <w:proofErr w:type="spellStart"/>
            <w:r>
              <w:rPr>
                <w:rFonts w:ascii="Times New Roman" w:eastAsia="Times New Roman" w:hAnsi="Times New Roman" w:cs="Times New Roman"/>
                <w:sz w:val="16"/>
                <w:szCs w:val="16"/>
                <w:highlight w:val="white"/>
              </w:rPr>
              <w:t>Travian</w:t>
            </w:r>
            <w:proofErr w:type="spellEnd"/>
            <w:r>
              <w:rPr>
                <w:rFonts w:ascii="Times New Roman" w:eastAsia="Times New Roman" w:hAnsi="Times New Roman" w:cs="Times New Roman"/>
                <w:sz w:val="16"/>
                <w:szCs w:val="16"/>
                <w:highlight w:val="white"/>
              </w:rPr>
              <w:t xml:space="preserve"> players were recruited. Most respondents were male (76.7 %) and young adults (age M=24.2 years, SD=9.4 years). About 61% of the participants had played the game for 4 months or longer; 26% had more than 1 year of experience with the game. Respondents reported logging on the game frequently: 99%, at least once a day; 53%, four times or more per day.</w:t>
            </w:r>
          </w:p>
        </w:tc>
        <w:tc>
          <w:tcPr>
            <w:tcW w:w="1110" w:type="dxa"/>
            <w:shd w:val="clear" w:color="auto" w:fill="auto"/>
            <w:tcMar>
              <w:top w:w="100" w:type="dxa"/>
              <w:left w:w="100" w:type="dxa"/>
              <w:bottom w:w="100" w:type="dxa"/>
              <w:right w:w="100" w:type="dxa"/>
            </w:tcMar>
          </w:tcPr>
          <w:p w14:paraId="7A30C6B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w:t>
            </w:r>
          </w:p>
        </w:tc>
        <w:tc>
          <w:tcPr>
            <w:tcW w:w="1275" w:type="dxa"/>
            <w:shd w:val="clear" w:color="auto" w:fill="auto"/>
            <w:tcMar>
              <w:top w:w="100" w:type="dxa"/>
              <w:left w:w="100" w:type="dxa"/>
              <w:bottom w:w="100" w:type="dxa"/>
              <w:right w:w="100" w:type="dxa"/>
            </w:tcMar>
          </w:tcPr>
          <w:p w14:paraId="3C4435D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General socialization features</w:t>
            </w:r>
          </w:p>
        </w:tc>
        <w:tc>
          <w:tcPr>
            <w:tcW w:w="4620" w:type="dxa"/>
            <w:shd w:val="clear" w:color="auto" w:fill="auto"/>
            <w:tcMar>
              <w:top w:w="100" w:type="dxa"/>
              <w:left w:w="100" w:type="dxa"/>
              <w:bottom w:w="100" w:type="dxa"/>
              <w:right w:w="100" w:type="dxa"/>
            </w:tcMar>
          </w:tcPr>
          <w:p w14:paraId="1FD17CF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4 key dimensions of browser game appeal were identified: socializing, competition, low costs, coping. Socializing was found to be the most important dimension, followed by cost/flexibility, competition, and coping.</w:t>
            </w:r>
          </w:p>
        </w:tc>
      </w:tr>
      <w:tr w:rsidR="00B862B4" w14:paraId="3F0B7005" w14:textId="77777777" w:rsidTr="003055DF">
        <w:tc>
          <w:tcPr>
            <w:tcW w:w="1065" w:type="dxa"/>
            <w:tcBorders>
              <w:top w:val="nil"/>
              <w:left w:val="nil"/>
              <w:bottom w:val="nil"/>
              <w:right w:val="nil"/>
            </w:tcBorders>
            <w:tcMar>
              <w:top w:w="40" w:type="dxa"/>
              <w:left w:w="40" w:type="dxa"/>
              <w:bottom w:w="40" w:type="dxa"/>
              <w:right w:w="40" w:type="dxa"/>
            </w:tcMar>
          </w:tcPr>
          <w:p w14:paraId="7434FF25"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Konijn</w:t>
            </w:r>
            <w:proofErr w:type="spellEnd"/>
            <w:r>
              <w:rPr>
                <w:rFonts w:ascii="Times New Roman" w:eastAsia="Times New Roman" w:hAnsi="Times New Roman" w:cs="Times New Roman"/>
                <w:sz w:val="16"/>
                <w:szCs w:val="16"/>
              </w:rPr>
              <w:t xml:space="preserve"> et al. (2007)</w:t>
            </w:r>
          </w:p>
        </w:tc>
        <w:tc>
          <w:tcPr>
            <w:tcW w:w="1185" w:type="dxa"/>
            <w:shd w:val="clear" w:color="auto" w:fill="auto"/>
            <w:tcMar>
              <w:top w:w="100" w:type="dxa"/>
              <w:left w:w="100" w:type="dxa"/>
              <w:bottom w:w="100" w:type="dxa"/>
              <w:right w:w="100" w:type="dxa"/>
            </w:tcMar>
          </w:tcPr>
          <w:p w14:paraId="302D273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RCT</w:t>
            </w:r>
          </w:p>
        </w:tc>
        <w:tc>
          <w:tcPr>
            <w:tcW w:w="3060" w:type="dxa"/>
            <w:shd w:val="clear" w:color="auto" w:fill="auto"/>
            <w:tcMar>
              <w:top w:w="100" w:type="dxa"/>
              <w:left w:w="100" w:type="dxa"/>
              <w:bottom w:w="100" w:type="dxa"/>
              <w:right w:w="100" w:type="dxa"/>
            </w:tcMar>
          </w:tcPr>
          <w:p w14:paraId="4F46AE6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112 boys from Dutch VMBO classes. The Dutch middle school system uses standardized tests to divide students into different educational ability levels. VMBO is the lowest level. The highest percentage of low-income students are also found in VMBO schools.</w:t>
            </w:r>
          </w:p>
        </w:tc>
        <w:tc>
          <w:tcPr>
            <w:tcW w:w="1110" w:type="dxa"/>
            <w:shd w:val="clear" w:color="auto" w:fill="auto"/>
            <w:tcMar>
              <w:top w:w="100" w:type="dxa"/>
              <w:left w:w="100" w:type="dxa"/>
              <w:bottom w:w="100" w:type="dxa"/>
              <w:right w:w="100" w:type="dxa"/>
            </w:tcMar>
          </w:tcPr>
          <w:p w14:paraId="659E0A3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Immersion</w:t>
            </w:r>
          </w:p>
        </w:tc>
        <w:tc>
          <w:tcPr>
            <w:tcW w:w="1275" w:type="dxa"/>
            <w:shd w:val="clear" w:color="auto" w:fill="auto"/>
            <w:tcMar>
              <w:top w:w="100" w:type="dxa"/>
              <w:left w:w="100" w:type="dxa"/>
              <w:bottom w:w="100" w:type="dxa"/>
              <w:right w:w="100" w:type="dxa"/>
            </w:tcMar>
          </w:tcPr>
          <w:p w14:paraId="7AFC08B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Avatar presence/identification, violence</w:t>
            </w:r>
          </w:p>
        </w:tc>
        <w:tc>
          <w:tcPr>
            <w:tcW w:w="4620" w:type="dxa"/>
            <w:shd w:val="clear" w:color="auto" w:fill="auto"/>
            <w:tcMar>
              <w:top w:w="100" w:type="dxa"/>
              <w:left w:w="100" w:type="dxa"/>
              <w:bottom w:w="100" w:type="dxa"/>
              <w:right w:w="100" w:type="dxa"/>
            </w:tcMar>
          </w:tcPr>
          <w:p w14:paraId="31E87CE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The most aggressive participants were those who played a violent game and wished they were like a violent character in the game.</w:t>
            </w:r>
          </w:p>
        </w:tc>
      </w:tr>
      <w:tr w:rsidR="00B862B4" w14:paraId="544A1560" w14:textId="77777777" w:rsidTr="003055DF">
        <w:tc>
          <w:tcPr>
            <w:tcW w:w="1065" w:type="dxa"/>
            <w:tcBorders>
              <w:top w:val="nil"/>
              <w:left w:val="nil"/>
              <w:bottom w:val="nil"/>
              <w:right w:val="nil"/>
            </w:tcBorders>
            <w:tcMar>
              <w:top w:w="40" w:type="dxa"/>
              <w:left w:w="40" w:type="dxa"/>
              <w:bottom w:w="40" w:type="dxa"/>
              <w:right w:w="40" w:type="dxa"/>
            </w:tcMar>
          </w:tcPr>
          <w:p w14:paraId="34D55712"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Laffan et al. (2016)</w:t>
            </w:r>
          </w:p>
        </w:tc>
        <w:tc>
          <w:tcPr>
            <w:tcW w:w="1185" w:type="dxa"/>
            <w:shd w:val="clear" w:color="auto" w:fill="auto"/>
            <w:tcMar>
              <w:top w:w="100" w:type="dxa"/>
              <w:left w:w="100" w:type="dxa"/>
              <w:bottom w:w="100" w:type="dxa"/>
              <w:right w:w="100" w:type="dxa"/>
            </w:tcMar>
          </w:tcPr>
          <w:p w14:paraId="777A0C8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2040743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207. 116 males, 91 females. Average age was 25.47 years (</w:t>
            </w:r>
            <w:r>
              <w:rPr>
                <w:rFonts w:ascii="Times New Roman" w:eastAsia="Times New Roman" w:hAnsi="Times New Roman" w:cs="Times New Roman"/>
                <w:i/>
                <w:sz w:val="16"/>
                <w:szCs w:val="16"/>
              </w:rPr>
              <w:t>SD</w:t>
            </w:r>
            <w:r>
              <w:rPr>
                <w:rFonts w:ascii="Times New Roman" w:eastAsia="Times New Roman" w:hAnsi="Times New Roman" w:cs="Times New Roman"/>
                <w:sz w:val="16"/>
                <w:szCs w:val="16"/>
              </w:rPr>
              <w:t xml:space="preserve"> = 8.1</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and the age range was 18-64 years.</w:t>
            </w:r>
          </w:p>
        </w:tc>
        <w:tc>
          <w:tcPr>
            <w:tcW w:w="1110" w:type="dxa"/>
            <w:shd w:val="clear" w:color="auto" w:fill="auto"/>
            <w:tcMar>
              <w:top w:w="100" w:type="dxa"/>
              <w:left w:w="100" w:type="dxa"/>
              <w:bottom w:w="100" w:type="dxa"/>
              <w:right w:w="100" w:type="dxa"/>
            </w:tcMar>
          </w:tcPr>
          <w:p w14:paraId="63B7002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Engagement, Flow</w:t>
            </w:r>
          </w:p>
        </w:tc>
        <w:tc>
          <w:tcPr>
            <w:tcW w:w="1275" w:type="dxa"/>
            <w:shd w:val="clear" w:color="auto" w:fill="auto"/>
            <w:tcMar>
              <w:top w:w="100" w:type="dxa"/>
              <w:left w:w="100" w:type="dxa"/>
              <w:bottom w:w="100" w:type="dxa"/>
              <w:right w:w="100" w:type="dxa"/>
            </w:tcMar>
          </w:tcPr>
          <w:p w14:paraId="7E8E9FE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General socialization features, punishment features, save features, user input controls / hot keys, sound, graphics</w:t>
            </w:r>
          </w:p>
        </w:tc>
        <w:tc>
          <w:tcPr>
            <w:tcW w:w="4620" w:type="dxa"/>
            <w:shd w:val="clear" w:color="auto" w:fill="auto"/>
            <w:tcMar>
              <w:top w:w="100" w:type="dxa"/>
              <w:left w:w="100" w:type="dxa"/>
              <w:bottom w:w="100" w:type="dxa"/>
              <w:right w:w="100" w:type="dxa"/>
            </w:tcMar>
          </w:tcPr>
          <w:p w14:paraId="40994DC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Players show a preference for punishment features, reward features, and manipulation features. The authors conclude that the </w:t>
            </w:r>
            <w:proofErr w:type="gramStart"/>
            <w:r>
              <w:rPr>
                <w:rFonts w:ascii="Times New Roman" w:eastAsia="Times New Roman" w:hAnsi="Times New Roman" w:cs="Times New Roman"/>
                <w:sz w:val="16"/>
                <w:szCs w:val="16"/>
                <w:highlight w:val="white"/>
              </w:rPr>
              <w:t>aforementioned structural</w:t>
            </w:r>
            <w:proofErr w:type="gramEnd"/>
            <w:r>
              <w:rPr>
                <w:rFonts w:ascii="Times New Roman" w:eastAsia="Times New Roman" w:hAnsi="Times New Roman" w:cs="Times New Roman"/>
                <w:sz w:val="16"/>
                <w:szCs w:val="16"/>
                <w:highlight w:val="white"/>
              </w:rPr>
              <w:t xml:space="preserve"> features significantly predict video game engagement (flow), and further, that aspects of video game engagement are negatively linked to general happiness. </w:t>
            </w:r>
          </w:p>
        </w:tc>
      </w:tr>
      <w:tr w:rsidR="00B862B4" w14:paraId="3AAA1601" w14:textId="77777777" w:rsidTr="003055DF">
        <w:tc>
          <w:tcPr>
            <w:tcW w:w="1065" w:type="dxa"/>
            <w:tcBorders>
              <w:top w:val="nil"/>
              <w:left w:val="nil"/>
              <w:bottom w:val="nil"/>
              <w:right w:val="nil"/>
            </w:tcBorders>
            <w:tcMar>
              <w:top w:w="40" w:type="dxa"/>
              <w:left w:w="40" w:type="dxa"/>
              <w:bottom w:w="40" w:type="dxa"/>
              <w:right w:w="40" w:type="dxa"/>
            </w:tcMar>
          </w:tcPr>
          <w:p w14:paraId="3922D94B"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Land (2015)</w:t>
            </w:r>
          </w:p>
        </w:tc>
        <w:tc>
          <w:tcPr>
            <w:tcW w:w="1185" w:type="dxa"/>
            <w:shd w:val="clear" w:color="auto" w:fill="auto"/>
            <w:tcMar>
              <w:top w:w="100" w:type="dxa"/>
              <w:left w:w="100" w:type="dxa"/>
              <w:bottom w:w="100" w:type="dxa"/>
              <w:right w:w="100" w:type="dxa"/>
            </w:tcMar>
          </w:tcPr>
          <w:p w14:paraId="08F6EEC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3060" w:type="dxa"/>
            <w:shd w:val="clear" w:color="auto" w:fill="auto"/>
            <w:tcMar>
              <w:top w:w="100" w:type="dxa"/>
              <w:left w:w="100" w:type="dxa"/>
              <w:bottom w:w="100" w:type="dxa"/>
              <w:right w:w="100" w:type="dxa"/>
            </w:tcMar>
          </w:tcPr>
          <w:p w14:paraId="0433550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6. </w:t>
            </w:r>
            <w:r>
              <w:rPr>
                <w:rFonts w:ascii="Times New Roman" w:eastAsia="Times New Roman" w:hAnsi="Times New Roman" w:cs="Times New Roman"/>
                <w:sz w:val="16"/>
                <w:szCs w:val="16"/>
                <w:highlight w:val="white"/>
              </w:rPr>
              <w:t xml:space="preserve">The participants were all Canadian </w:t>
            </w:r>
            <w:r>
              <w:rPr>
                <w:rFonts w:ascii="Times New Roman" w:eastAsia="Times New Roman" w:hAnsi="Times New Roman" w:cs="Times New Roman"/>
                <w:sz w:val="16"/>
                <w:szCs w:val="16"/>
                <w:highlight w:val="white"/>
              </w:rPr>
              <w:lastRenderedPageBreak/>
              <w:t>males, with two between 18-24 years of age, and four between 25-30 years of age.</w:t>
            </w:r>
          </w:p>
        </w:tc>
        <w:tc>
          <w:tcPr>
            <w:tcW w:w="1110" w:type="dxa"/>
            <w:shd w:val="clear" w:color="auto" w:fill="auto"/>
            <w:tcMar>
              <w:top w:w="100" w:type="dxa"/>
              <w:left w:w="100" w:type="dxa"/>
              <w:bottom w:w="100" w:type="dxa"/>
              <w:right w:w="100" w:type="dxa"/>
            </w:tcMar>
          </w:tcPr>
          <w:p w14:paraId="40510C3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Motivation</w:t>
            </w:r>
          </w:p>
        </w:tc>
        <w:tc>
          <w:tcPr>
            <w:tcW w:w="1275" w:type="dxa"/>
            <w:shd w:val="clear" w:color="auto" w:fill="auto"/>
            <w:tcMar>
              <w:top w:w="100" w:type="dxa"/>
              <w:left w:w="100" w:type="dxa"/>
              <w:bottom w:w="100" w:type="dxa"/>
              <w:right w:w="100" w:type="dxa"/>
            </w:tcMar>
          </w:tcPr>
          <w:p w14:paraId="004E4F5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General social </w:t>
            </w:r>
            <w:r>
              <w:rPr>
                <w:rFonts w:ascii="Times New Roman" w:eastAsia="Times New Roman" w:hAnsi="Times New Roman" w:cs="Times New Roman"/>
                <w:sz w:val="16"/>
                <w:szCs w:val="16"/>
                <w:highlight w:val="white"/>
              </w:rPr>
              <w:lastRenderedPageBreak/>
              <w:t>features, experience points (XP) / leveling up, scheduled rewards / payout intervals, sounds, graphics</w:t>
            </w:r>
          </w:p>
        </w:tc>
        <w:tc>
          <w:tcPr>
            <w:tcW w:w="4620" w:type="dxa"/>
            <w:shd w:val="clear" w:color="auto" w:fill="auto"/>
            <w:tcMar>
              <w:top w:w="100" w:type="dxa"/>
              <w:left w:w="100" w:type="dxa"/>
              <w:bottom w:w="100" w:type="dxa"/>
              <w:right w:w="100" w:type="dxa"/>
            </w:tcMar>
          </w:tcPr>
          <w:p w14:paraId="57462FF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Socialization was a strong motivational factor for players, especially </w:t>
            </w:r>
            <w:r>
              <w:rPr>
                <w:rFonts w:ascii="Times New Roman" w:eastAsia="Times New Roman" w:hAnsi="Times New Roman" w:cs="Times New Roman"/>
                <w:sz w:val="16"/>
                <w:szCs w:val="16"/>
              </w:rPr>
              <w:lastRenderedPageBreak/>
              <w:t xml:space="preserve">younger ones. Challenge and competition were also important, including levelling up. 16 motivations were identified in this study: Fun, competition, escapism, socialization, achievements, boredom, entertainment, challenge, routine, instant gratification, engaging, winning, ease of play, fitting in, </w:t>
            </w:r>
            <w:proofErr w:type="spellStart"/>
            <w:r>
              <w:rPr>
                <w:rFonts w:ascii="Times New Roman" w:eastAsia="Times New Roman" w:hAnsi="Times New Roman" w:cs="Times New Roman"/>
                <w:sz w:val="16"/>
                <w:szCs w:val="16"/>
              </w:rPr>
              <w:t>caamaraderie</w:t>
            </w:r>
            <w:proofErr w:type="spellEnd"/>
            <w:r>
              <w:rPr>
                <w:rFonts w:ascii="Times New Roman" w:eastAsia="Times New Roman" w:hAnsi="Times New Roman" w:cs="Times New Roman"/>
                <w:sz w:val="16"/>
                <w:szCs w:val="16"/>
              </w:rPr>
              <w:t xml:space="preserve">, and strategy. </w:t>
            </w:r>
          </w:p>
        </w:tc>
      </w:tr>
      <w:tr w:rsidR="00B862B4" w14:paraId="1B25B459" w14:textId="77777777" w:rsidTr="003055DF">
        <w:tc>
          <w:tcPr>
            <w:tcW w:w="1065" w:type="dxa"/>
            <w:tcBorders>
              <w:top w:val="nil"/>
              <w:left w:val="nil"/>
              <w:bottom w:val="nil"/>
              <w:right w:val="nil"/>
            </w:tcBorders>
            <w:tcMar>
              <w:top w:w="40" w:type="dxa"/>
              <w:left w:w="40" w:type="dxa"/>
              <w:bottom w:w="40" w:type="dxa"/>
              <w:right w:w="40" w:type="dxa"/>
            </w:tcMar>
          </w:tcPr>
          <w:p w14:paraId="2A1B0A58"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Lau et al. (2017)</w:t>
            </w:r>
          </w:p>
        </w:tc>
        <w:tc>
          <w:tcPr>
            <w:tcW w:w="1185" w:type="dxa"/>
            <w:shd w:val="clear" w:color="auto" w:fill="auto"/>
            <w:tcMar>
              <w:top w:w="100" w:type="dxa"/>
              <w:left w:w="100" w:type="dxa"/>
              <w:bottom w:w="100" w:type="dxa"/>
              <w:right w:w="100" w:type="dxa"/>
            </w:tcMar>
          </w:tcPr>
          <w:p w14:paraId="6A688D9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3060" w:type="dxa"/>
            <w:shd w:val="clear" w:color="auto" w:fill="auto"/>
            <w:tcMar>
              <w:top w:w="100" w:type="dxa"/>
              <w:left w:w="100" w:type="dxa"/>
              <w:bottom w:w="100" w:type="dxa"/>
              <w:right w:w="100" w:type="dxa"/>
            </w:tcMar>
          </w:tcPr>
          <w:p w14:paraId="480D89F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Participants were 22 Chinese children from lower-middle-class families. Their schools were located in city districts in Hong Kong, </w:t>
            </w:r>
            <w:proofErr w:type="gramStart"/>
            <w:r>
              <w:rPr>
                <w:rFonts w:ascii="Times New Roman" w:eastAsia="Times New Roman" w:hAnsi="Times New Roman" w:cs="Times New Roman"/>
                <w:sz w:val="16"/>
                <w:szCs w:val="16"/>
                <w:highlight w:val="white"/>
              </w:rPr>
              <w:t>The</w:t>
            </w:r>
            <w:proofErr w:type="gramEnd"/>
            <w:r>
              <w:rPr>
                <w:rFonts w:ascii="Times New Roman" w:eastAsia="Times New Roman" w:hAnsi="Times New Roman" w:cs="Times New Roman"/>
                <w:sz w:val="16"/>
                <w:szCs w:val="16"/>
                <w:highlight w:val="white"/>
              </w:rPr>
              <w:t xml:space="preserve"> participants met the inclusion criteria if they were (1) between 9 and 12 years old, (2) without any physical or psychological illness, and (3) without previous playing experience with these AVGs (active videogames).</w:t>
            </w:r>
          </w:p>
        </w:tc>
        <w:tc>
          <w:tcPr>
            <w:tcW w:w="1110" w:type="dxa"/>
            <w:shd w:val="clear" w:color="auto" w:fill="auto"/>
            <w:tcMar>
              <w:top w:w="100" w:type="dxa"/>
              <w:left w:w="100" w:type="dxa"/>
              <w:bottom w:w="100" w:type="dxa"/>
              <w:right w:w="100" w:type="dxa"/>
            </w:tcMar>
          </w:tcPr>
          <w:p w14:paraId="4A73937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Preference </w:t>
            </w:r>
          </w:p>
        </w:tc>
        <w:tc>
          <w:tcPr>
            <w:tcW w:w="1275" w:type="dxa"/>
            <w:shd w:val="clear" w:color="auto" w:fill="auto"/>
            <w:tcMar>
              <w:top w:w="100" w:type="dxa"/>
              <w:left w:w="100" w:type="dxa"/>
              <w:bottom w:w="100" w:type="dxa"/>
              <w:right w:w="100" w:type="dxa"/>
            </w:tcMar>
          </w:tcPr>
          <w:p w14:paraId="4EED0CE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User input device, graphics, and sound</w:t>
            </w:r>
          </w:p>
        </w:tc>
        <w:tc>
          <w:tcPr>
            <w:tcW w:w="4620" w:type="dxa"/>
            <w:shd w:val="clear" w:color="auto" w:fill="auto"/>
            <w:tcMar>
              <w:top w:w="100" w:type="dxa"/>
              <w:left w:w="100" w:type="dxa"/>
              <w:bottom w:w="100" w:type="dxa"/>
              <w:right w:w="100" w:type="dxa"/>
            </w:tcMar>
          </w:tcPr>
          <w:p w14:paraId="7715D1F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Control was the most significant feature when choosing an active video game to play. Control was followed by feedback, goal, graphics, and others; these qualities determined the attractiveness of an active video game.</w:t>
            </w:r>
          </w:p>
        </w:tc>
      </w:tr>
      <w:tr w:rsidR="00B862B4" w14:paraId="6398199E" w14:textId="77777777" w:rsidTr="003055DF">
        <w:tc>
          <w:tcPr>
            <w:tcW w:w="1065" w:type="dxa"/>
            <w:tcBorders>
              <w:top w:val="nil"/>
              <w:left w:val="nil"/>
              <w:bottom w:val="nil"/>
              <w:right w:val="nil"/>
            </w:tcBorders>
            <w:tcMar>
              <w:top w:w="40" w:type="dxa"/>
              <w:left w:w="40" w:type="dxa"/>
              <w:bottom w:w="40" w:type="dxa"/>
              <w:right w:w="40" w:type="dxa"/>
            </w:tcMar>
          </w:tcPr>
          <w:p w14:paraId="1084814B"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Lee &amp; </w:t>
            </w:r>
            <w:proofErr w:type="spellStart"/>
            <w:r>
              <w:rPr>
                <w:rFonts w:ascii="Times New Roman" w:eastAsia="Times New Roman" w:hAnsi="Times New Roman" w:cs="Times New Roman"/>
                <w:sz w:val="16"/>
                <w:szCs w:val="16"/>
              </w:rPr>
              <w:t>Schoenstedt</w:t>
            </w:r>
            <w:proofErr w:type="spellEnd"/>
            <w:r>
              <w:rPr>
                <w:rFonts w:ascii="Times New Roman" w:eastAsia="Times New Roman" w:hAnsi="Times New Roman" w:cs="Times New Roman"/>
                <w:sz w:val="16"/>
                <w:szCs w:val="16"/>
              </w:rPr>
              <w:t xml:space="preserve"> (2011)</w:t>
            </w:r>
          </w:p>
        </w:tc>
        <w:tc>
          <w:tcPr>
            <w:tcW w:w="1185" w:type="dxa"/>
            <w:shd w:val="clear" w:color="auto" w:fill="auto"/>
            <w:tcMar>
              <w:top w:w="100" w:type="dxa"/>
              <w:left w:w="100" w:type="dxa"/>
              <w:bottom w:w="100" w:type="dxa"/>
              <w:right w:w="100" w:type="dxa"/>
            </w:tcMar>
          </w:tcPr>
          <w:p w14:paraId="4660CE3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0AD522F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515 surveys were included. The sample consisted of 82.9% male and 16.1% female participants (1% missing).</w:t>
            </w:r>
          </w:p>
        </w:tc>
        <w:tc>
          <w:tcPr>
            <w:tcW w:w="1110" w:type="dxa"/>
            <w:shd w:val="clear" w:color="auto" w:fill="auto"/>
            <w:tcMar>
              <w:top w:w="100" w:type="dxa"/>
              <w:left w:w="100" w:type="dxa"/>
              <w:bottom w:w="100" w:type="dxa"/>
              <w:right w:w="100" w:type="dxa"/>
            </w:tcMar>
          </w:tcPr>
          <w:p w14:paraId="2DAB8D5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 Time Spent Gaming</w:t>
            </w:r>
          </w:p>
        </w:tc>
        <w:tc>
          <w:tcPr>
            <w:tcW w:w="1275" w:type="dxa"/>
            <w:shd w:val="clear" w:color="auto" w:fill="auto"/>
            <w:tcMar>
              <w:top w:w="100" w:type="dxa"/>
              <w:left w:w="100" w:type="dxa"/>
              <w:bottom w:w="100" w:type="dxa"/>
              <w:right w:w="100" w:type="dxa"/>
            </w:tcMar>
          </w:tcPr>
          <w:p w14:paraId="295AF9A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General socialization features</w:t>
            </w:r>
          </w:p>
        </w:tc>
        <w:tc>
          <w:tcPr>
            <w:tcW w:w="4620" w:type="dxa"/>
            <w:shd w:val="clear" w:color="auto" w:fill="auto"/>
            <w:tcMar>
              <w:top w:w="100" w:type="dxa"/>
              <w:left w:w="100" w:type="dxa"/>
              <w:bottom w:w="100" w:type="dxa"/>
              <w:right w:w="100" w:type="dxa"/>
            </w:tcMar>
          </w:tcPr>
          <w:p w14:paraId="2227955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Competition, peer pressure, and skill building towards actual sports all had significant effects on motivation towards time spent playing, with competition and peer pressure being positive, and skill building negative. </w:t>
            </w:r>
          </w:p>
        </w:tc>
      </w:tr>
      <w:tr w:rsidR="00B862B4" w14:paraId="48AFD5ED" w14:textId="77777777" w:rsidTr="003055DF">
        <w:tc>
          <w:tcPr>
            <w:tcW w:w="1065" w:type="dxa"/>
            <w:tcBorders>
              <w:top w:val="nil"/>
              <w:left w:val="nil"/>
              <w:bottom w:val="nil"/>
              <w:right w:val="nil"/>
            </w:tcBorders>
            <w:tcMar>
              <w:top w:w="40" w:type="dxa"/>
              <w:left w:w="40" w:type="dxa"/>
              <w:bottom w:w="40" w:type="dxa"/>
              <w:right w:w="40" w:type="dxa"/>
            </w:tcMar>
          </w:tcPr>
          <w:p w14:paraId="5D1BB064"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Lin &amp; Peng (2015)</w:t>
            </w:r>
          </w:p>
        </w:tc>
        <w:tc>
          <w:tcPr>
            <w:tcW w:w="1185" w:type="dxa"/>
            <w:shd w:val="clear" w:color="auto" w:fill="auto"/>
            <w:tcMar>
              <w:top w:w="100" w:type="dxa"/>
              <w:left w:w="100" w:type="dxa"/>
              <w:bottom w:w="100" w:type="dxa"/>
              <w:right w:w="100" w:type="dxa"/>
            </w:tcMar>
          </w:tcPr>
          <w:p w14:paraId="0A4ADF0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RCT</w:t>
            </w:r>
          </w:p>
        </w:tc>
        <w:tc>
          <w:tcPr>
            <w:tcW w:w="3060" w:type="dxa"/>
            <w:shd w:val="clear" w:color="auto" w:fill="auto"/>
            <w:tcMar>
              <w:top w:w="100" w:type="dxa"/>
              <w:left w:w="100" w:type="dxa"/>
              <w:bottom w:w="100" w:type="dxa"/>
              <w:right w:w="100" w:type="dxa"/>
            </w:tcMar>
          </w:tcPr>
          <w:p w14:paraId="755B865B"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i/>
                <w:sz w:val="16"/>
                <w:szCs w:val="16"/>
              </w:rPr>
              <w:t xml:space="preserve">N </w:t>
            </w: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highlight w:val="white"/>
              </w:rPr>
              <w:t>The participants had an average age of 21.5, ranging from 20</w:t>
            </w:r>
          </w:p>
          <w:p w14:paraId="533E375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to 33 years old. Among the 132 participants who disclosed ethnicity information, 109 were white, 14 were African American, one was Native American, four were Asian </w:t>
            </w:r>
            <w:proofErr w:type="spellStart"/>
            <w:proofErr w:type="gramStart"/>
            <w:r>
              <w:rPr>
                <w:rFonts w:ascii="Times New Roman" w:eastAsia="Times New Roman" w:hAnsi="Times New Roman" w:cs="Times New Roman"/>
                <w:sz w:val="16"/>
                <w:szCs w:val="16"/>
                <w:highlight w:val="white"/>
              </w:rPr>
              <w:t>American,and</w:t>
            </w:r>
            <w:proofErr w:type="spellEnd"/>
            <w:proofErr w:type="gramEnd"/>
            <w:r>
              <w:rPr>
                <w:rFonts w:ascii="Times New Roman" w:eastAsia="Times New Roman" w:hAnsi="Times New Roman" w:cs="Times New Roman"/>
                <w:sz w:val="16"/>
                <w:szCs w:val="16"/>
                <w:highlight w:val="white"/>
              </w:rPr>
              <w:t xml:space="preserve"> four were from other countries.</w:t>
            </w:r>
          </w:p>
        </w:tc>
        <w:tc>
          <w:tcPr>
            <w:tcW w:w="1110" w:type="dxa"/>
            <w:shd w:val="clear" w:color="auto" w:fill="auto"/>
            <w:tcMar>
              <w:top w:w="100" w:type="dxa"/>
              <w:left w:w="100" w:type="dxa"/>
              <w:bottom w:w="100" w:type="dxa"/>
              <w:right w:w="100" w:type="dxa"/>
            </w:tcMar>
          </w:tcPr>
          <w:p w14:paraId="14DDB5D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Engagement, Enjoyment</w:t>
            </w:r>
          </w:p>
        </w:tc>
        <w:tc>
          <w:tcPr>
            <w:tcW w:w="1275" w:type="dxa"/>
            <w:shd w:val="clear" w:color="auto" w:fill="auto"/>
            <w:tcMar>
              <w:top w:w="100" w:type="dxa"/>
              <w:left w:w="100" w:type="dxa"/>
              <w:bottom w:w="100" w:type="dxa"/>
              <w:right w:w="100" w:type="dxa"/>
            </w:tcMar>
          </w:tcPr>
          <w:p w14:paraId="1895932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Avatar Identification / Presence</w:t>
            </w:r>
          </w:p>
        </w:tc>
        <w:tc>
          <w:tcPr>
            <w:tcW w:w="4620" w:type="dxa"/>
            <w:shd w:val="clear" w:color="auto" w:fill="auto"/>
            <w:tcMar>
              <w:top w:w="100" w:type="dxa"/>
              <w:left w:w="100" w:type="dxa"/>
              <w:bottom w:w="100" w:type="dxa"/>
              <w:right w:w="100" w:type="dxa"/>
            </w:tcMar>
          </w:tcPr>
          <w:p w14:paraId="3D3C2DA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Positive relationship between social phobia scores and IGD symptoms is partially mediated by avatar identification. Even after controlling for the shared influence of weekly gaming hours, the results provide support for strong positive relationships among the three variables </w:t>
            </w:r>
            <w:proofErr w:type="spellStart"/>
            <w:r>
              <w:rPr>
                <w:rFonts w:ascii="Times New Roman" w:eastAsia="Times New Roman" w:hAnsi="Times New Roman" w:cs="Times New Roman"/>
                <w:sz w:val="16"/>
                <w:szCs w:val="16"/>
                <w:highlight w:val="white"/>
              </w:rPr>
              <w:t>ofinterest</w:t>
            </w:r>
            <w:proofErr w:type="spellEnd"/>
            <w:r>
              <w:rPr>
                <w:rFonts w:ascii="Times New Roman" w:eastAsia="Times New Roman" w:hAnsi="Times New Roman" w:cs="Times New Roman"/>
                <w:sz w:val="16"/>
                <w:szCs w:val="16"/>
                <w:highlight w:val="white"/>
              </w:rPr>
              <w:t>, and modest support for the proposed mediating role of avatar identification.</w:t>
            </w:r>
          </w:p>
        </w:tc>
      </w:tr>
      <w:tr w:rsidR="00B862B4" w14:paraId="1C0F9C79" w14:textId="77777777" w:rsidTr="003055DF">
        <w:tc>
          <w:tcPr>
            <w:tcW w:w="1065" w:type="dxa"/>
            <w:tcBorders>
              <w:top w:val="nil"/>
              <w:left w:val="nil"/>
              <w:right w:val="nil"/>
            </w:tcBorders>
            <w:tcMar>
              <w:top w:w="40" w:type="dxa"/>
              <w:left w:w="40" w:type="dxa"/>
              <w:bottom w:w="40" w:type="dxa"/>
              <w:right w:w="40" w:type="dxa"/>
            </w:tcMar>
          </w:tcPr>
          <w:p w14:paraId="1CAECDC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Mancini et al. (2019)</w:t>
            </w:r>
          </w:p>
        </w:tc>
        <w:tc>
          <w:tcPr>
            <w:tcW w:w="1185" w:type="dxa"/>
            <w:shd w:val="clear" w:color="auto" w:fill="auto"/>
            <w:tcMar>
              <w:top w:w="100" w:type="dxa"/>
              <w:left w:w="100" w:type="dxa"/>
              <w:bottom w:w="100" w:type="dxa"/>
              <w:right w:w="100" w:type="dxa"/>
            </w:tcMar>
          </w:tcPr>
          <w:p w14:paraId="7918F54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RCT</w:t>
            </w:r>
          </w:p>
        </w:tc>
        <w:tc>
          <w:tcPr>
            <w:tcW w:w="3060" w:type="dxa"/>
            <w:shd w:val="clear" w:color="auto" w:fill="auto"/>
            <w:tcMar>
              <w:top w:w="100" w:type="dxa"/>
              <w:left w:w="100" w:type="dxa"/>
              <w:bottom w:w="100" w:type="dxa"/>
              <w:right w:w="100" w:type="dxa"/>
            </w:tcMar>
          </w:tcPr>
          <w:p w14:paraId="4D858DA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Study 2: The final pool of 100 participants (69 females, 76 </w:t>
            </w:r>
            <w:proofErr w:type="spellStart"/>
            <w:r>
              <w:rPr>
                <w:rFonts w:ascii="Times New Roman" w:eastAsia="Times New Roman" w:hAnsi="Times New Roman" w:cs="Times New Roman"/>
                <w:sz w:val="16"/>
                <w:szCs w:val="16"/>
              </w:rPr>
              <w:t>uni</w:t>
            </w:r>
            <w:proofErr w:type="spellEnd"/>
            <w:r>
              <w:rPr>
                <w:rFonts w:ascii="Times New Roman" w:eastAsia="Times New Roman" w:hAnsi="Times New Roman" w:cs="Times New Roman"/>
                <w:sz w:val="16"/>
                <w:szCs w:val="16"/>
              </w:rPr>
              <w:t xml:space="preserve">- </w:t>
            </w:r>
            <w:proofErr w:type="spellStart"/>
            <w:r>
              <w:rPr>
                <w:rFonts w:ascii="Times New Roman" w:eastAsia="Times New Roman" w:hAnsi="Times New Roman" w:cs="Times New Roman"/>
                <w:sz w:val="16"/>
                <w:szCs w:val="16"/>
              </w:rPr>
              <w:t>versity</w:t>
            </w:r>
            <w:proofErr w:type="spellEnd"/>
            <w:r>
              <w:rPr>
                <w:rFonts w:ascii="Times New Roman" w:eastAsia="Times New Roman" w:hAnsi="Times New Roman" w:cs="Times New Roman"/>
                <w:sz w:val="16"/>
                <w:szCs w:val="16"/>
              </w:rPr>
              <w:t xml:space="preserve"> students), 25 for each of the four experimental conditions.</w:t>
            </w:r>
          </w:p>
        </w:tc>
        <w:tc>
          <w:tcPr>
            <w:tcW w:w="1110" w:type="dxa"/>
            <w:shd w:val="clear" w:color="auto" w:fill="auto"/>
            <w:tcMar>
              <w:top w:w="100" w:type="dxa"/>
              <w:left w:w="100" w:type="dxa"/>
              <w:bottom w:w="100" w:type="dxa"/>
              <w:right w:w="100" w:type="dxa"/>
            </w:tcMar>
          </w:tcPr>
          <w:p w14:paraId="17987E8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Willingness to Continue</w:t>
            </w:r>
          </w:p>
        </w:tc>
        <w:tc>
          <w:tcPr>
            <w:tcW w:w="1275" w:type="dxa"/>
            <w:shd w:val="clear" w:color="auto" w:fill="auto"/>
            <w:tcMar>
              <w:top w:w="100" w:type="dxa"/>
              <w:left w:w="100" w:type="dxa"/>
              <w:bottom w:w="100" w:type="dxa"/>
              <w:right w:w="100" w:type="dxa"/>
            </w:tcMar>
          </w:tcPr>
          <w:p w14:paraId="503A339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Avatar identification</w:t>
            </w:r>
          </w:p>
        </w:tc>
        <w:tc>
          <w:tcPr>
            <w:tcW w:w="4620" w:type="dxa"/>
            <w:shd w:val="clear" w:color="auto" w:fill="auto"/>
            <w:tcMar>
              <w:top w:w="100" w:type="dxa"/>
              <w:left w:w="100" w:type="dxa"/>
              <w:bottom w:w="100" w:type="dxa"/>
              <w:right w:w="100" w:type="dxa"/>
            </w:tcMar>
          </w:tcPr>
          <w:p w14:paraId="63D9228E" w14:textId="77777777" w:rsidR="00B862B4" w:rsidRDefault="00B862B4" w:rsidP="003055DF">
            <w:pPr>
              <w:widowControl w:val="0"/>
              <w:spacing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highlight w:val="white"/>
              </w:rPr>
              <w:t>Execcesive</w:t>
            </w:r>
            <w:proofErr w:type="spellEnd"/>
            <w:r>
              <w:rPr>
                <w:rFonts w:ascii="Times New Roman" w:eastAsia="Times New Roman" w:hAnsi="Times New Roman" w:cs="Times New Roman"/>
                <w:sz w:val="16"/>
                <w:szCs w:val="16"/>
                <w:highlight w:val="white"/>
              </w:rPr>
              <w:t xml:space="preserve"> online gaming was enhanced by the identification with the avatar more than by the customization of an avatar as similar or as different from the ideal self of the player. Identifying with an idealized vs utopian avatar did not affect the intention to continue to play. To mitigate MMORPG risk addiction when a utopian avatar was used, the risk can be avoided with low identification; with an idealized avatar, the risk of identification remains constant regardless of identification level.</w:t>
            </w:r>
          </w:p>
        </w:tc>
      </w:tr>
      <w:tr w:rsidR="00B862B4" w14:paraId="6D40AEDE" w14:textId="77777777" w:rsidTr="003055DF">
        <w:tc>
          <w:tcPr>
            <w:tcW w:w="1065" w:type="dxa"/>
            <w:tcBorders>
              <w:top w:val="nil"/>
            </w:tcBorders>
            <w:tcMar>
              <w:top w:w="40" w:type="dxa"/>
              <w:left w:w="40" w:type="dxa"/>
              <w:bottom w:w="40" w:type="dxa"/>
              <w:right w:w="40" w:type="dxa"/>
            </w:tcMar>
            <w:vAlign w:val="bottom"/>
          </w:tcPr>
          <w:p w14:paraId="1DF27D3D" w14:textId="77777777" w:rsidR="00B862B4" w:rsidRDefault="00B862B4" w:rsidP="003055DF">
            <w:pPr>
              <w:widowControl w:val="0"/>
              <w:rPr>
                <w:sz w:val="20"/>
                <w:szCs w:val="20"/>
              </w:rPr>
            </w:pPr>
            <w:r>
              <w:rPr>
                <w:rFonts w:ascii="Times New Roman" w:eastAsia="Times New Roman" w:hAnsi="Times New Roman" w:cs="Times New Roman"/>
                <w:sz w:val="16"/>
                <w:szCs w:val="16"/>
              </w:rPr>
              <w:t>Mao (2021)</w:t>
            </w:r>
          </w:p>
        </w:tc>
        <w:tc>
          <w:tcPr>
            <w:tcW w:w="1185" w:type="dxa"/>
            <w:shd w:val="clear" w:color="auto" w:fill="auto"/>
            <w:tcMar>
              <w:top w:w="100" w:type="dxa"/>
              <w:left w:w="100" w:type="dxa"/>
              <w:bottom w:w="100" w:type="dxa"/>
              <w:right w:w="100" w:type="dxa"/>
            </w:tcMar>
          </w:tcPr>
          <w:p w14:paraId="7ABB583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3060" w:type="dxa"/>
            <w:shd w:val="clear" w:color="auto" w:fill="auto"/>
            <w:tcMar>
              <w:top w:w="100" w:type="dxa"/>
              <w:left w:w="100" w:type="dxa"/>
              <w:bottom w:w="100" w:type="dxa"/>
              <w:right w:w="100" w:type="dxa"/>
            </w:tcMar>
          </w:tcPr>
          <w:p w14:paraId="0034F62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1110 summoners (i.e., League of Legends users) were randomly selected. The sample involved summoners from five servers and of nine rank tiers.</w:t>
            </w:r>
          </w:p>
        </w:tc>
        <w:tc>
          <w:tcPr>
            <w:tcW w:w="1110" w:type="dxa"/>
            <w:shd w:val="clear" w:color="auto" w:fill="auto"/>
            <w:tcMar>
              <w:top w:w="100" w:type="dxa"/>
              <w:left w:w="100" w:type="dxa"/>
              <w:bottom w:w="100" w:type="dxa"/>
              <w:right w:w="100" w:type="dxa"/>
            </w:tcMar>
          </w:tcPr>
          <w:p w14:paraId="0AD3EF7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Engagement</w:t>
            </w:r>
          </w:p>
        </w:tc>
        <w:tc>
          <w:tcPr>
            <w:tcW w:w="1275" w:type="dxa"/>
            <w:shd w:val="clear" w:color="auto" w:fill="auto"/>
            <w:tcMar>
              <w:top w:w="100" w:type="dxa"/>
              <w:left w:w="100" w:type="dxa"/>
              <w:bottom w:w="100" w:type="dxa"/>
              <w:right w:w="100" w:type="dxa"/>
            </w:tcMar>
          </w:tcPr>
          <w:p w14:paraId="7F976686"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General Socialization Features</w:t>
            </w:r>
          </w:p>
        </w:tc>
        <w:tc>
          <w:tcPr>
            <w:tcW w:w="4620" w:type="dxa"/>
            <w:shd w:val="clear" w:color="auto" w:fill="auto"/>
            <w:tcMar>
              <w:top w:w="100" w:type="dxa"/>
              <w:left w:w="100" w:type="dxa"/>
              <w:bottom w:w="100" w:type="dxa"/>
              <w:right w:w="100" w:type="dxa"/>
            </w:tcMar>
          </w:tcPr>
          <w:p w14:paraId="6E452245"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r>
              <w:rPr>
                <w:rFonts w:ascii="Times New Roman" w:eastAsia="Times New Roman" w:hAnsi="Times New Roman" w:cs="Times New Roman"/>
                <w:sz w:val="17"/>
                <w:szCs w:val="17"/>
                <w:highlight w:val="white"/>
              </w:rPr>
              <w:t>Participants playing with other players (online friends) were more likely to continue to play (high engagement).</w:t>
            </w:r>
          </w:p>
        </w:tc>
      </w:tr>
      <w:tr w:rsidR="00B862B4" w14:paraId="57F86896" w14:textId="77777777" w:rsidTr="003055DF">
        <w:tc>
          <w:tcPr>
            <w:tcW w:w="1065" w:type="dxa"/>
            <w:tcBorders>
              <w:left w:val="nil"/>
              <w:bottom w:val="nil"/>
              <w:right w:val="nil"/>
            </w:tcBorders>
            <w:tcMar>
              <w:top w:w="40" w:type="dxa"/>
              <w:left w:w="40" w:type="dxa"/>
              <w:bottom w:w="40" w:type="dxa"/>
              <w:right w:w="40" w:type="dxa"/>
            </w:tcMar>
          </w:tcPr>
          <w:p w14:paraId="658179F3"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McGloin &amp; </w:t>
            </w:r>
            <w:proofErr w:type="spellStart"/>
            <w:r>
              <w:rPr>
                <w:rFonts w:ascii="Times New Roman" w:eastAsia="Times New Roman" w:hAnsi="Times New Roman" w:cs="Times New Roman"/>
                <w:sz w:val="16"/>
                <w:szCs w:val="16"/>
              </w:rPr>
              <w:t>Embacher</w:t>
            </w:r>
            <w:proofErr w:type="spellEnd"/>
            <w:r>
              <w:rPr>
                <w:rFonts w:ascii="Times New Roman" w:eastAsia="Times New Roman" w:hAnsi="Times New Roman" w:cs="Times New Roman"/>
                <w:sz w:val="16"/>
                <w:szCs w:val="16"/>
              </w:rPr>
              <w:t xml:space="preserve"> (2017)</w:t>
            </w:r>
          </w:p>
        </w:tc>
        <w:tc>
          <w:tcPr>
            <w:tcW w:w="1185" w:type="dxa"/>
            <w:shd w:val="clear" w:color="auto" w:fill="auto"/>
            <w:tcMar>
              <w:top w:w="100" w:type="dxa"/>
              <w:left w:w="100" w:type="dxa"/>
              <w:bottom w:w="100" w:type="dxa"/>
              <w:right w:w="100" w:type="dxa"/>
            </w:tcMar>
          </w:tcPr>
          <w:p w14:paraId="3330507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5F8CDD3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208 participants were recruited from an introductory communication course at a large northeastern university. A little over half of the sample was female (56%), and </w:t>
            </w:r>
            <w:proofErr w:type="gramStart"/>
            <w:r>
              <w:rPr>
                <w:rFonts w:ascii="Times New Roman" w:eastAsia="Times New Roman" w:hAnsi="Times New Roman" w:cs="Times New Roman"/>
                <w:sz w:val="16"/>
                <w:szCs w:val="16"/>
              </w:rPr>
              <w:t>the majority of</w:t>
            </w:r>
            <w:proofErr w:type="gramEnd"/>
            <w:r>
              <w:rPr>
                <w:rFonts w:ascii="Times New Roman" w:eastAsia="Times New Roman" w:hAnsi="Times New Roman" w:cs="Times New Roman"/>
                <w:sz w:val="16"/>
                <w:szCs w:val="16"/>
              </w:rPr>
              <w:t xml:space="preserve"> participants identified as White (67%), with 13% identified as Asian, 6% as Hispanic, and 5% as Black. The average age was 19 years (SD = .95).</w:t>
            </w:r>
          </w:p>
        </w:tc>
        <w:tc>
          <w:tcPr>
            <w:tcW w:w="1110" w:type="dxa"/>
            <w:shd w:val="clear" w:color="auto" w:fill="auto"/>
            <w:tcMar>
              <w:top w:w="100" w:type="dxa"/>
              <w:left w:w="100" w:type="dxa"/>
              <w:bottom w:w="100" w:type="dxa"/>
              <w:right w:w="100" w:type="dxa"/>
            </w:tcMar>
          </w:tcPr>
          <w:p w14:paraId="3A0F995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Willingness to Return to Play, Enjoyment, Immersion</w:t>
            </w:r>
          </w:p>
        </w:tc>
        <w:tc>
          <w:tcPr>
            <w:tcW w:w="1275" w:type="dxa"/>
            <w:shd w:val="clear" w:color="auto" w:fill="auto"/>
            <w:tcMar>
              <w:top w:w="100" w:type="dxa"/>
              <w:left w:w="100" w:type="dxa"/>
              <w:bottom w:w="100" w:type="dxa"/>
              <w:right w:w="100" w:type="dxa"/>
            </w:tcMar>
          </w:tcPr>
          <w:p w14:paraId="0379887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User input device, Graphics</w:t>
            </w:r>
          </w:p>
        </w:tc>
        <w:tc>
          <w:tcPr>
            <w:tcW w:w="4620" w:type="dxa"/>
            <w:shd w:val="clear" w:color="auto" w:fill="auto"/>
            <w:tcMar>
              <w:top w:w="100" w:type="dxa"/>
              <w:left w:w="100" w:type="dxa"/>
              <w:bottom w:w="100" w:type="dxa"/>
              <w:right w:w="100" w:type="dxa"/>
            </w:tcMar>
          </w:tcPr>
          <w:p w14:paraId="68747D5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Controller naturalness and perceived realism both predict immersion in the exergaming experience. Controller naturalness also directly predicted enjoyment and desire to ride the Expresso bike again. Immersion in the exergame had a positive influence on enjoyment of the exercise experience. Enjoyment significantly predicted desire to use the Expresso HD bike again in the future.</w:t>
            </w:r>
          </w:p>
        </w:tc>
      </w:tr>
      <w:tr w:rsidR="00B862B4" w14:paraId="32553141" w14:textId="77777777" w:rsidTr="003055DF">
        <w:tc>
          <w:tcPr>
            <w:tcW w:w="1065" w:type="dxa"/>
            <w:tcBorders>
              <w:top w:val="nil"/>
              <w:left w:val="nil"/>
              <w:bottom w:val="nil"/>
              <w:right w:val="nil"/>
            </w:tcBorders>
            <w:tcMar>
              <w:top w:w="40" w:type="dxa"/>
              <w:left w:w="40" w:type="dxa"/>
              <w:bottom w:w="40" w:type="dxa"/>
              <w:right w:w="40" w:type="dxa"/>
            </w:tcMar>
          </w:tcPr>
          <w:p w14:paraId="6FD12C5D"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McKernan et al. (2015)</w:t>
            </w:r>
          </w:p>
        </w:tc>
        <w:tc>
          <w:tcPr>
            <w:tcW w:w="1185" w:type="dxa"/>
            <w:shd w:val="clear" w:color="auto" w:fill="auto"/>
            <w:tcMar>
              <w:top w:w="100" w:type="dxa"/>
              <w:left w:w="100" w:type="dxa"/>
              <w:bottom w:w="100" w:type="dxa"/>
              <w:right w:w="100" w:type="dxa"/>
            </w:tcMar>
          </w:tcPr>
          <w:p w14:paraId="469FDEE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RCT</w:t>
            </w:r>
          </w:p>
        </w:tc>
        <w:tc>
          <w:tcPr>
            <w:tcW w:w="3060" w:type="dxa"/>
            <w:shd w:val="clear" w:color="auto" w:fill="auto"/>
            <w:tcMar>
              <w:top w:w="100" w:type="dxa"/>
              <w:left w:w="100" w:type="dxa"/>
              <w:bottom w:w="100" w:type="dxa"/>
              <w:right w:w="100" w:type="dxa"/>
            </w:tcMar>
          </w:tcPr>
          <w:p w14:paraId="7E36113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242 participants - 65% female, 35% male, and were an average age of 20 years old. The majority agreed or strongly agreed they like playing video games (53%), 35% said they have a lot of experience playing computer games, and 86% reported their level of computer experience was intermediate or better. On average, participants had some experience with educational games, with 36% agreeing they had ‘‘a lot of experience’’ playing them.</w:t>
            </w:r>
          </w:p>
        </w:tc>
        <w:tc>
          <w:tcPr>
            <w:tcW w:w="1110" w:type="dxa"/>
            <w:shd w:val="clear" w:color="auto" w:fill="auto"/>
            <w:tcMar>
              <w:top w:w="100" w:type="dxa"/>
              <w:left w:w="100" w:type="dxa"/>
              <w:bottom w:w="100" w:type="dxa"/>
              <w:right w:w="100" w:type="dxa"/>
            </w:tcMar>
          </w:tcPr>
          <w:p w14:paraId="7B3F3CA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Engagement</w:t>
            </w:r>
          </w:p>
        </w:tc>
        <w:tc>
          <w:tcPr>
            <w:tcW w:w="1275" w:type="dxa"/>
            <w:shd w:val="clear" w:color="auto" w:fill="auto"/>
            <w:tcMar>
              <w:top w:w="100" w:type="dxa"/>
              <w:left w:w="100" w:type="dxa"/>
              <w:bottom w:w="100" w:type="dxa"/>
              <w:right w:w="100" w:type="dxa"/>
            </w:tcMar>
          </w:tcPr>
          <w:p w14:paraId="4406AC3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General reward type features</w:t>
            </w:r>
          </w:p>
        </w:tc>
        <w:tc>
          <w:tcPr>
            <w:tcW w:w="4620" w:type="dxa"/>
            <w:shd w:val="clear" w:color="auto" w:fill="auto"/>
            <w:tcMar>
              <w:top w:w="100" w:type="dxa"/>
              <w:left w:w="100" w:type="dxa"/>
              <w:bottom w:w="100" w:type="dxa"/>
              <w:right w:w="100" w:type="dxa"/>
            </w:tcMar>
          </w:tcPr>
          <w:p w14:paraId="4F09497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Feeling rewarded was related to </w:t>
            </w:r>
            <w:proofErr w:type="gramStart"/>
            <w:r>
              <w:rPr>
                <w:rFonts w:ascii="Times New Roman" w:eastAsia="Times New Roman" w:hAnsi="Times New Roman" w:cs="Times New Roman"/>
                <w:sz w:val="16"/>
                <w:szCs w:val="16"/>
              </w:rPr>
              <w:t>all of</w:t>
            </w:r>
            <w:proofErr w:type="gramEnd"/>
            <w:r>
              <w:rPr>
                <w:rFonts w:ascii="Times New Roman" w:eastAsia="Times New Roman" w:hAnsi="Times New Roman" w:cs="Times New Roman"/>
                <w:sz w:val="16"/>
                <w:szCs w:val="16"/>
              </w:rPr>
              <w:t xml:space="preserve"> the engagement scales. Although both games (the one with extensive rewards and the one with few reward features) improved learning, comparing the two game conditions did not reveal any differences in bias avoidance behavior or bias knowledge - suggests that learning is not affected by the quantity of reward features in an educational game.</w:t>
            </w:r>
          </w:p>
        </w:tc>
      </w:tr>
      <w:tr w:rsidR="00B862B4" w14:paraId="21D1740D" w14:textId="77777777" w:rsidTr="003055DF">
        <w:tc>
          <w:tcPr>
            <w:tcW w:w="1065" w:type="dxa"/>
            <w:tcBorders>
              <w:top w:val="nil"/>
              <w:left w:val="nil"/>
              <w:bottom w:val="nil"/>
              <w:right w:val="nil"/>
            </w:tcBorders>
            <w:tcMar>
              <w:top w:w="40" w:type="dxa"/>
              <w:left w:w="40" w:type="dxa"/>
              <w:bottom w:w="40" w:type="dxa"/>
              <w:right w:w="40" w:type="dxa"/>
            </w:tcMar>
          </w:tcPr>
          <w:p w14:paraId="094F5339"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McLean &amp; Griffiths (2013)</w:t>
            </w:r>
          </w:p>
        </w:tc>
        <w:tc>
          <w:tcPr>
            <w:tcW w:w="1185" w:type="dxa"/>
            <w:shd w:val="clear" w:color="auto" w:fill="auto"/>
            <w:tcMar>
              <w:top w:w="100" w:type="dxa"/>
              <w:left w:w="100" w:type="dxa"/>
              <w:bottom w:w="100" w:type="dxa"/>
              <w:right w:w="100" w:type="dxa"/>
            </w:tcMar>
          </w:tcPr>
          <w:p w14:paraId="4338658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Qualitative</w:t>
            </w:r>
          </w:p>
        </w:tc>
        <w:tc>
          <w:tcPr>
            <w:tcW w:w="3060" w:type="dxa"/>
            <w:shd w:val="clear" w:color="auto" w:fill="auto"/>
            <w:tcMar>
              <w:top w:w="100" w:type="dxa"/>
              <w:left w:w="100" w:type="dxa"/>
              <w:bottom w:w="100" w:type="dxa"/>
              <w:right w:w="100" w:type="dxa"/>
            </w:tcMar>
          </w:tcPr>
          <w:p w14:paraId="659CED1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The total number of discussions in this study was 409. </w:t>
            </w:r>
            <w:proofErr w:type="gramStart"/>
            <w:r>
              <w:rPr>
                <w:rFonts w:ascii="Times New Roman" w:eastAsia="Times New Roman" w:hAnsi="Times New Roman" w:cs="Times New Roman"/>
                <w:sz w:val="16"/>
                <w:szCs w:val="16"/>
                <w:highlight w:val="white"/>
              </w:rPr>
              <w:t>The majority of</w:t>
            </w:r>
            <w:proofErr w:type="gramEnd"/>
            <w:r>
              <w:rPr>
                <w:rFonts w:ascii="Times New Roman" w:eastAsia="Times New Roman" w:hAnsi="Times New Roman" w:cs="Times New Roman"/>
                <w:sz w:val="16"/>
                <w:szCs w:val="16"/>
                <w:highlight w:val="white"/>
              </w:rPr>
              <w:t xml:space="preserve"> the forum participants were female and played a variety of game genres (MMORPGs, FPS games, RPGs, RTS games, fighting games, war games, strategy games, platform games and adventure games). </w:t>
            </w:r>
          </w:p>
        </w:tc>
        <w:tc>
          <w:tcPr>
            <w:tcW w:w="1110" w:type="dxa"/>
            <w:shd w:val="clear" w:color="auto" w:fill="auto"/>
            <w:tcMar>
              <w:top w:w="100" w:type="dxa"/>
              <w:left w:w="100" w:type="dxa"/>
              <w:bottom w:w="100" w:type="dxa"/>
              <w:right w:w="100" w:type="dxa"/>
            </w:tcMar>
          </w:tcPr>
          <w:p w14:paraId="5040C33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w:t>
            </w:r>
          </w:p>
        </w:tc>
        <w:tc>
          <w:tcPr>
            <w:tcW w:w="1275" w:type="dxa"/>
            <w:shd w:val="clear" w:color="auto" w:fill="auto"/>
            <w:tcMar>
              <w:top w:w="100" w:type="dxa"/>
              <w:left w:w="100" w:type="dxa"/>
              <w:bottom w:w="100" w:type="dxa"/>
              <w:right w:w="100" w:type="dxa"/>
            </w:tcMar>
          </w:tcPr>
          <w:p w14:paraId="5F8E7E8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 xml:space="preserve">General socialization </w:t>
            </w:r>
            <w:proofErr w:type="gramStart"/>
            <w:r>
              <w:rPr>
                <w:rFonts w:ascii="Times New Roman" w:eastAsia="Times New Roman" w:hAnsi="Times New Roman" w:cs="Times New Roman"/>
                <w:sz w:val="17"/>
                <w:szCs w:val="17"/>
                <w:highlight w:val="white"/>
              </w:rPr>
              <w:t>features,  guild</w:t>
            </w:r>
            <w:proofErr w:type="gramEnd"/>
            <w:r>
              <w:rPr>
                <w:rFonts w:ascii="Times New Roman" w:eastAsia="Times New Roman" w:hAnsi="Times New Roman" w:cs="Times New Roman"/>
                <w:sz w:val="17"/>
                <w:szCs w:val="17"/>
                <w:highlight w:val="white"/>
              </w:rPr>
              <w:t xml:space="preserve"> / clans / teams, avatar presence, avatar customizability, and storyline features. </w:t>
            </w:r>
          </w:p>
        </w:tc>
        <w:tc>
          <w:tcPr>
            <w:tcW w:w="4620" w:type="dxa"/>
            <w:shd w:val="clear" w:color="auto" w:fill="auto"/>
            <w:tcMar>
              <w:top w:w="100" w:type="dxa"/>
              <w:left w:w="100" w:type="dxa"/>
              <w:bottom w:w="100" w:type="dxa"/>
              <w:right w:w="100" w:type="dxa"/>
            </w:tcMar>
          </w:tcPr>
          <w:p w14:paraId="789907E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rPr>
              <w:t xml:space="preserve">Social gaming elements for female gamers was a central feature related to players’ motivation to play. Social features of gaming and character features, including appearance and storyline, were very important to female gamers. Attraction to </w:t>
            </w:r>
            <w:proofErr w:type="gramStart"/>
            <w:r>
              <w:rPr>
                <w:rFonts w:ascii="Times New Roman" w:eastAsia="Times New Roman" w:hAnsi="Times New Roman" w:cs="Times New Roman"/>
                <w:sz w:val="17"/>
                <w:szCs w:val="17"/>
              </w:rPr>
              <w:t>video-games</w:t>
            </w:r>
            <w:proofErr w:type="gramEnd"/>
            <w:r>
              <w:rPr>
                <w:rFonts w:ascii="Times New Roman" w:eastAsia="Times New Roman" w:hAnsi="Times New Roman" w:cs="Times New Roman"/>
                <w:sz w:val="17"/>
                <w:szCs w:val="17"/>
              </w:rPr>
              <w:t xml:space="preserve"> for FGs was related predominantly to the role of social engagement, in terms of physical interaction (playing along-side significant others) and virtual interaction (playing online/discussing gaming online). Engagement and identification with characters and storylines was believed to facilitate escapism and relaxation, which FGs highlighted as important for their gaming enjoyment. </w:t>
            </w:r>
          </w:p>
        </w:tc>
      </w:tr>
      <w:tr w:rsidR="00B862B4" w14:paraId="055BF27C" w14:textId="77777777" w:rsidTr="003055DF">
        <w:tc>
          <w:tcPr>
            <w:tcW w:w="1065" w:type="dxa"/>
            <w:tcBorders>
              <w:top w:val="nil"/>
              <w:left w:val="nil"/>
              <w:bottom w:val="nil"/>
              <w:right w:val="nil"/>
            </w:tcBorders>
            <w:tcMar>
              <w:top w:w="40" w:type="dxa"/>
              <w:left w:w="40" w:type="dxa"/>
              <w:bottom w:w="40" w:type="dxa"/>
              <w:right w:w="40" w:type="dxa"/>
            </w:tcMar>
          </w:tcPr>
          <w:p w14:paraId="7B5DDAAE"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Nadolny</w:t>
            </w:r>
            <w:proofErr w:type="spellEnd"/>
            <w:r>
              <w:rPr>
                <w:rFonts w:ascii="Times New Roman" w:eastAsia="Times New Roman" w:hAnsi="Times New Roman" w:cs="Times New Roman"/>
                <w:sz w:val="16"/>
                <w:szCs w:val="16"/>
              </w:rPr>
              <w:t xml:space="preserve"> et al. (2017)</w:t>
            </w:r>
          </w:p>
        </w:tc>
        <w:tc>
          <w:tcPr>
            <w:tcW w:w="1185" w:type="dxa"/>
            <w:shd w:val="clear" w:color="auto" w:fill="auto"/>
            <w:tcMar>
              <w:top w:w="100" w:type="dxa"/>
              <w:left w:w="100" w:type="dxa"/>
              <w:bottom w:w="100" w:type="dxa"/>
              <w:right w:w="100" w:type="dxa"/>
            </w:tcMar>
          </w:tcPr>
          <w:p w14:paraId="5A9B3BB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104FF60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27 teachers were recruited. Their ages ranging from 26 to 64 years old with an average of 14 years teaching experience. </w:t>
            </w:r>
            <w:proofErr w:type="gramStart"/>
            <w:r>
              <w:rPr>
                <w:rFonts w:ascii="Times New Roman" w:eastAsia="Times New Roman" w:hAnsi="Times New Roman" w:cs="Times New Roman"/>
                <w:sz w:val="16"/>
                <w:szCs w:val="16"/>
                <w:highlight w:val="white"/>
              </w:rPr>
              <w:t>The majority of</w:t>
            </w:r>
            <w:proofErr w:type="gramEnd"/>
            <w:r>
              <w:rPr>
                <w:rFonts w:ascii="Times New Roman" w:eastAsia="Times New Roman" w:hAnsi="Times New Roman" w:cs="Times New Roman"/>
                <w:sz w:val="16"/>
                <w:szCs w:val="16"/>
                <w:highlight w:val="white"/>
              </w:rPr>
              <w:t xml:space="preserve"> teachers were male (72%) with one participant not identifying a gender.</w:t>
            </w:r>
          </w:p>
          <w:p w14:paraId="669DB2F2" w14:textId="77777777" w:rsidR="00B862B4" w:rsidRDefault="00B862B4" w:rsidP="003055DF">
            <w:pPr>
              <w:widowControl w:val="0"/>
              <w:spacing w:line="240" w:lineRule="auto"/>
              <w:rPr>
                <w:rFonts w:ascii="Times New Roman" w:eastAsia="Times New Roman" w:hAnsi="Times New Roman" w:cs="Times New Roman"/>
                <w:sz w:val="16"/>
                <w:szCs w:val="16"/>
                <w:highlight w:val="white"/>
              </w:rPr>
            </w:pPr>
          </w:p>
          <w:p w14:paraId="4AE6D04B" w14:textId="77777777" w:rsidR="00B862B4" w:rsidRDefault="00B862B4" w:rsidP="003055DF">
            <w:pPr>
              <w:widowControl w:val="0"/>
              <w:spacing w:line="240" w:lineRule="auto"/>
              <w:rPr>
                <w:rFonts w:ascii="Times New Roman" w:eastAsia="Times New Roman" w:hAnsi="Times New Roman" w:cs="Times New Roman"/>
                <w:sz w:val="16"/>
                <w:szCs w:val="16"/>
              </w:rPr>
            </w:pPr>
          </w:p>
        </w:tc>
        <w:tc>
          <w:tcPr>
            <w:tcW w:w="1110" w:type="dxa"/>
            <w:shd w:val="clear" w:color="auto" w:fill="auto"/>
            <w:tcMar>
              <w:top w:w="100" w:type="dxa"/>
              <w:left w:w="100" w:type="dxa"/>
              <w:bottom w:w="100" w:type="dxa"/>
              <w:right w:w="100" w:type="dxa"/>
            </w:tcMar>
          </w:tcPr>
          <w:p w14:paraId="13D1BA0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w:t>
            </w:r>
          </w:p>
        </w:tc>
        <w:tc>
          <w:tcPr>
            <w:tcW w:w="1275" w:type="dxa"/>
            <w:shd w:val="clear" w:color="auto" w:fill="auto"/>
            <w:tcMar>
              <w:top w:w="100" w:type="dxa"/>
              <w:left w:w="100" w:type="dxa"/>
              <w:bottom w:w="100" w:type="dxa"/>
              <w:right w:w="100" w:type="dxa"/>
            </w:tcMar>
          </w:tcPr>
          <w:p w14:paraId="6FDB07F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rPr>
              <w:t>Quests, levelling up and instant rewards, and general rewards.</w:t>
            </w:r>
          </w:p>
        </w:tc>
        <w:tc>
          <w:tcPr>
            <w:tcW w:w="4620" w:type="dxa"/>
            <w:shd w:val="clear" w:color="auto" w:fill="auto"/>
            <w:tcMar>
              <w:top w:w="100" w:type="dxa"/>
              <w:left w:w="100" w:type="dxa"/>
              <w:bottom w:w="100" w:type="dxa"/>
              <w:right w:w="100" w:type="dxa"/>
            </w:tcMar>
          </w:tcPr>
          <w:p w14:paraId="40CCA17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 xml:space="preserve">Game elements that motivated students most were quests, instant feedback, academic rewards, adaptive release items, and points. In middle school, </w:t>
            </w:r>
            <w:proofErr w:type="spellStart"/>
            <w:r>
              <w:rPr>
                <w:rFonts w:ascii="Times New Roman" w:eastAsia="Times New Roman" w:hAnsi="Times New Roman" w:cs="Times New Roman"/>
                <w:sz w:val="17"/>
                <w:szCs w:val="17"/>
                <w:highlight w:val="white"/>
              </w:rPr>
              <w:t>compeitition</w:t>
            </w:r>
            <w:proofErr w:type="spellEnd"/>
            <w:r>
              <w:rPr>
                <w:rFonts w:ascii="Times New Roman" w:eastAsia="Times New Roman" w:hAnsi="Times New Roman" w:cs="Times New Roman"/>
                <w:sz w:val="17"/>
                <w:szCs w:val="17"/>
                <w:highlight w:val="white"/>
              </w:rPr>
              <w:t xml:space="preserve"> was also important. Game attributes chosen by teachers in high school and university were assessment, interaction between students, rules, and goals. in middle school, focus is creative narrative. </w:t>
            </w:r>
          </w:p>
        </w:tc>
      </w:tr>
      <w:tr w:rsidR="00B862B4" w14:paraId="30724F06" w14:textId="77777777" w:rsidTr="003055DF">
        <w:tc>
          <w:tcPr>
            <w:tcW w:w="1065" w:type="dxa"/>
            <w:tcBorders>
              <w:top w:val="nil"/>
              <w:left w:val="nil"/>
              <w:bottom w:val="nil"/>
              <w:right w:val="nil"/>
            </w:tcBorders>
            <w:tcMar>
              <w:top w:w="40" w:type="dxa"/>
              <w:left w:w="40" w:type="dxa"/>
              <w:bottom w:w="40" w:type="dxa"/>
              <w:right w:w="40" w:type="dxa"/>
            </w:tcMar>
          </w:tcPr>
          <w:p w14:paraId="337229C2"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Nagygyörgy</w:t>
            </w:r>
            <w:proofErr w:type="spellEnd"/>
            <w:r>
              <w:rPr>
                <w:rFonts w:ascii="Times New Roman" w:eastAsia="Times New Roman" w:hAnsi="Times New Roman" w:cs="Times New Roman"/>
                <w:sz w:val="16"/>
                <w:szCs w:val="16"/>
              </w:rPr>
              <w:t xml:space="preserve"> et al. (2013)</w:t>
            </w:r>
          </w:p>
        </w:tc>
        <w:tc>
          <w:tcPr>
            <w:tcW w:w="1185" w:type="dxa"/>
            <w:shd w:val="clear" w:color="auto" w:fill="auto"/>
            <w:tcMar>
              <w:top w:w="100" w:type="dxa"/>
              <w:left w:w="100" w:type="dxa"/>
              <w:bottom w:w="100" w:type="dxa"/>
              <w:right w:w="100" w:type="dxa"/>
            </w:tcMar>
          </w:tcPr>
          <w:p w14:paraId="3DB8BF7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7396C0E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4374. </w:t>
            </w:r>
            <w:r>
              <w:rPr>
                <w:rFonts w:ascii="Times New Roman" w:eastAsia="Times New Roman" w:hAnsi="Times New Roman" w:cs="Times New Roman"/>
                <w:sz w:val="16"/>
                <w:szCs w:val="16"/>
                <w:highlight w:val="white"/>
              </w:rPr>
              <w:t xml:space="preserve">Table 2 of their paper shows a breakdown of types of </w:t>
            </w:r>
            <w:proofErr w:type="gramStart"/>
            <w:r>
              <w:rPr>
                <w:rFonts w:ascii="Times New Roman" w:eastAsia="Times New Roman" w:hAnsi="Times New Roman" w:cs="Times New Roman"/>
                <w:sz w:val="16"/>
                <w:szCs w:val="16"/>
                <w:highlight w:val="white"/>
              </w:rPr>
              <w:t>demographic</w:t>
            </w:r>
            <w:proofErr w:type="gramEnd"/>
            <w:r>
              <w:rPr>
                <w:rFonts w:ascii="Times New Roman" w:eastAsia="Times New Roman" w:hAnsi="Times New Roman" w:cs="Times New Roman"/>
                <w:sz w:val="16"/>
                <w:szCs w:val="16"/>
                <w:highlight w:val="white"/>
              </w:rPr>
              <w:t xml:space="preserve">, gaming </w:t>
            </w:r>
            <w:proofErr w:type="spellStart"/>
            <w:r>
              <w:rPr>
                <w:rFonts w:ascii="Times New Roman" w:eastAsia="Times New Roman" w:hAnsi="Times New Roman" w:cs="Times New Roman"/>
                <w:sz w:val="16"/>
                <w:szCs w:val="16"/>
                <w:highlight w:val="white"/>
              </w:rPr>
              <w:t>trypes</w:t>
            </w:r>
            <w:proofErr w:type="spellEnd"/>
            <w:r>
              <w:rPr>
                <w:rFonts w:ascii="Times New Roman" w:eastAsia="Times New Roman" w:hAnsi="Times New Roman" w:cs="Times New Roman"/>
                <w:sz w:val="16"/>
                <w:szCs w:val="16"/>
                <w:highlight w:val="white"/>
              </w:rPr>
              <w:t xml:space="preserve"> and gaming related variables.</w:t>
            </w:r>
          </w:p>
        </w:tc>
        <w:tc>
          <w:tcPr>
            <w:tcW w:w="1110" w:type="dxa"/>
            <w:shd w:val="clear" w:color="auto" w:fill="auto"/>
            <w:tcMar>
              <w:top w:w="100" w:type="dxa"/>
              <w:left w:w="100" w:type="dxa"/>
              <w:bottom w:w="100" w:type="dxa"/>
              <w:right w:w="100" w:type="dxa"/>
            </w:tcMar>
          </w:tcPr>
          <w:p w14:paraId="7972407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Time Spent Gaming, Preference</w:t>
            </w:r>
          </w:p>
        </w:tc>
        <w:tc>
          <w:tcPr>
            <w:tcW w:w="1275" w:type="dxa"/>
            <w:shd w:val="clear" w:color="auto" w:fill="auto"/>
            <w:tcMar>
              <w:top w:w="100" w:type="dxa"/>
              <w:left w:w="100" w:type="dxa"/>
              <w:bottom w:w="100" w:type="dxa"/>
              <w:right w:w="100" w:type="dxa"/>
            </w:tcMar>
          </w:tcPr>
          <w:p w14:paraId="2F210A0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Genres (MMOFPS, MMORPG, MMORTS).</w:t>
            </w:r>
          </w:p>
        </w:tc>
        <w:tc>
          <w:tcPr>
            <w:tcW w:w="4620" w:type="dxa"/>
            <w:shd w:val="clear" w:color="auto" w:fill="auto"/>
            <w:tcMar>
              <w:top w:w="100" w:type="dxa"/>
              <w:left w:w="100" w:type="dxa"/>
              <w:bottom w:w="100" w:type="dxa"/>
              <w:right w:w="100" w:type="dxa"/>
            </w:tcMar>
          </w:tcPr>
          <w:p w14:paraId="21896EF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4 profiles of players emerged: MMORPG, MMOFPS (First-Person Shooter games), MMORTS (Real-Time Strategy games), and other games. MMORPG gamers spent the most time playing. Gamers that play MMOGs can be categorized into either playing MMORPGs, MMORTSs, MMOFPSs. MMORPG players appeared to be the most vulnerable to potentially problematic gaming, as they spent the most </w:t>
            </w:r>
            <w:r>
              <w:rPr>
                <w:rFonts w:ascii="Times New Roman" w:eastAsia="Times New Roman" w:hAnsi="Times New Roman" w:cs="Times New Roman"/>
                <w:sz w:val="16"/>
                <w:szCs w:val="16"/>
              </w:rPr>
              <w:lastRenderedPageBreak/>
              <w:t>time on gaming.</w:t>
            </w:r>
          </w:p>
        </w:tc>
      </w:tr>
      <w:tr w:rsidR="00B862B4" w14:paraId="1AE35D11" w14:textId="77777777" w:rsidTr="003055DF">
        <w:tc>
          <w:tcPr>
            <w:tcW w:w="1065" w:type="dxa"/>
            <w:tcBorders>
              <w:top w:val="nil"/>
              <w:left w:val="nil"/>
              <w:bottom w:val="nil"/>
              <w:right w:val="nil"/>
            </w:tcBorders>
            <w:tcMar>
              <w:top w:w="40" w:type="dxa"/>
              <w:left w:w="40" w:type="dxa"/>
              <w:bottom w:w="40" w:type="dxa"/>
              <w:right w:w="40" w:type="dxa"/>
            </w:tcMar>
          </w:tcPr>
          <w:p w14:paraId="2C4E5E7D"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Quick &amp; Atkinson (2015)</w:t>
            </w:r>
          </w:p>
        </w:tc>
        <w:tc>
          <w:tcPr>
            <w:tcW w:w="1185" w:type="dxa"/>
            <w:shd w:val="clear" w:color="auto" w:fill="auto"/>
            <w:tcMar>
              <w:top w:w="100" w:type="dxa"/>
              <w:left w:w="100" w:type="dxa"/>
              <w:bottom w:w="100" w:type="dxa"/>
              <w:right w:w="100" w:type="dxa"/>
            </w:tcMar>
          </w:tcPr>
          <w:p w14:paraId="558BBBE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6CB536C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301. </w:t>
            </w:r>
            <w:r>
              <w:rPr>
                <w:rFonts w:ascii="Times New Roman" w:eastAsia="Times New Roman" w:hAnsi="Times New Roman" w:cs="Times New Roman"/>
                <w:sz w:val="16"/>
                <w:szCs w:val="16"/>
                <w:highlight w:val="white"/>
              </w:rPr>
              <w:t xml:space="preserve">Participants ranged in age from 18 to 49 (M = 21.95, </w:t>
            </w:r>
            <w:proofErr w:type="spellStart"/>
            <w:r>
              <w:rPr>
                <w:rFonts w:ascii="Times New Roman" w:eastAsia="Times New Roman" w:hAnsi="Times New Roman" w:cs="Times New Roman"/>
                <w:sz w:val="16"/>
                <w:szCs w:val="16"/>
                <w:highlight w:val="white"/>
              </w:rPr>
              <w:t>Mdn</w:t>
            </w:r>
            <w:proofErr w:type="spellEnd"/>
            <w:r>
              <w:rPr>
                <w:rFonts w:ascii="Times New Roman" w:eastAsia="Times New Roman" w:hAnsi="Times New Roman" w:cs="Times New Roman"/>
                <w:sz w:val="16"/>
                <w:szCs w:val="16"/>
                <w:highlight w:val="white"/>
              </w:rPr>
              <w:t xml:space="preserve"> = 21), with 84% between 18 and 24 years old. By gender, 29% (88) were female and 70% (210) were male, with 1% (3) opting not to share this information.</w:t>
            </w:r>
          </w:p>
        </w:tc>
        <w:tc>
          <w:tcPr>
            <w:tcW w:w="1110" w:type="dxa"/>
            <w:shd w:val="clear" w:color="auto" w:fill="auto"/>
            <w:tcMar>
              <w:top w:w="100" w:type="dxa"/>
              <w:left w:w="100" w:type="dxa"/>
              <w:bottom w:w="100" w:type="dxa"/>
              <w:right w:w="100" w:type="dxa"/>
            </w:tcMar>
          </w:tcPr>
          <w:p w14:paraId="7F028B2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Enjoyment.</w:t>
            </w:r>
          </w:p>
        </w:tc>
        <w:tc>
          <w:tcPr>
            <w:tcW w:w="1275" w:type="dxa"/>
            <w:shd w:val="clear" w:color="auto" w:fill="auto"/>
            <w:tcMar>
              <w:top w:w="100" w:type="dxa"/>
              <w:left w:w="100" w:type="dxa"/>
              <w:bottom w:w="100" w:type="dxa"/>
              <w:right w:w="100" w:type="dxa"/>
            </w:tcMar>
          </w:tcPr>
          <w:p w14:paraId="1FA0B5D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Multiplayer, general socialization features, leader boards, near miss features, graphics, sound, avatar creation / customizability, virtual world type, artificial intelligence / NPC presence.</w:t>
            </w:r>
          </w:p>
        </w:tc>
        <w:tc>
          <w:tcPr>
            <w:tcW w:w="4620" w:type="dxa"/>
            <w:shd w:val="clear" w:color="auto" w:fill="auto"/>
            <w:tcMar>
              <w:top w:w="100" w:type="dxa"/>
              <w:left w:w="100" w:type="dxa"/>
              <w:bottom w:w="100" w:type="dxa"/>
              <w:right w:w="100" w:type="dxa"/>
            </w:tcMar>
          </w:tcPr>
          <w:p w14:paraId="736C401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rPr>
              <w:t xml:space="preserve">Challenge and recognition features </w:t>
            </w:r>
            <w:proofErr w:type="gramStart"/>
            <w:r>
              <w:rPr>
                <w:rFonts w:ascii="Times New Roman" w:eastAsia="Times New Roman" w:hAnsi="Times New Roman" w:cs="Times New Roman"/>
                <w:sz w:val="17"/>
                <w:szCs w:val="17"/>
              </w:rPr>
              <w:t>( including</w:t>
            </w:r>
            <w:proofErr w:type="gramEnd"/>
            <w:r>
              <w:rPr>
                <w:rFonts w:ascii="Times New Roman" w:eastAsia="Times New Roman" w:hAnsi="Times New Roman" w:cs="Times New Roman"/>
                <w:sz w:val="17"/>
                <w:szCs w:val="17"/>
              </w:rPr>
              <w:t xml:space="preserve"> rewards/achievement. public recognition, leader boards. high scores, player rankings), social features (called "companionship"; multiplayer, leader boards), presentation features (called fidelity; graphics, animations, sounds), identity (characters with different varying characteristics), and fantasy were all significant and positive predictors of enjoyment.</w:t>
            </w:r>
          </w:p>
        </w:tc>
      </w:tr>
      <w:tr w:rsidR="00B862B4" w14:paraId="6A83BB2F" w14:textId="77777777" w:rsidTr="003055DF">
        <w:tc>
          <w:tcPr>
            <w:tcW w:w="1065" w:type="dxa"/>
            <w:tcBorders>
              <w:top w:val="nil"/>
              <w:left w:val="nil"/>
              <w:bottom w:val="nil"/>
              <w:right w:val="nil"/>
            </w:tcBorders>
            <w:tcMar>
              <w:top w:w="40" w:type="dxa"/>
              <w:left w:w="40" w:type="dxa"/>
              <w:bottom w:w="40" w:type="dxa"/>
              <w:right w:w="40" w:type="dxa"/>
            </w:tcMar>
          </w:tcPr>
          <w:p w14:paraId="1F761D56"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Quick et al. (2012)</w:t>
            </w:r>
          </w:p>
        </w:tc>
        <w:tc>
          <w:tcPr>
            <w:tcW w:w="1185" w:type="dxa"/>
            <w:shd w:val="clear" w:color="auto" w:fill="auto"/>
            <w:tcMar>
              <w:top w:w="100" w:type="dxa"/>
              <w:left w:w="100" w:type="dxa"/>
              <w:bottom w:w="100" w:type="dxa"/>
              <w:right w:w="100" w:type="dxa"/>
            </w:tcMar>
          </w:tcPr>
          <w:p w14:paraId="11501CA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Mixed</w:t>
            </w:r>
          </w:p>
        </w:tc>
        <w:tc>
          <w:tcPr>
            <w:tcW w:w="3060" w:type="dxa"/>
            <w:shd w:val="clear" w:color="auto" w:fill="auto"/>
            <w:tcMar>
              <w:top w:w="100" w:type="dxa"/>
              <w:left w:w="100" w:type="dxa"/>
              <w:bottom w:w="100" w:type="dxa"/>
              <w:right w:w="100" w:type="dxa"/>
            </w:tcMar>
          </w:tcPr>
          <w:p w14:paraId="4967CCD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  33</w:t>
            </w:r>
            <w:proofErr w:type="gramEnd"/>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highlight w:val="white"/>
              </w:rPr>
              <w:t>Mean age was 21.3 years (range 18-32 years; mode 21 years). Equal representation of gender (n=17 male; n = 16 female). 11/21 Were frequent players (more than one hour weekly).</w:t>
            </w:r>
          </w:p>
        </w:tc>
        <w:tc>
          <w:tcPr>
            <w:tcW w:w="1110" w:type="dxa"/>
            <w:shd w:val="clear" w:color="auto" w:fill="auto"/>
            <w:tcMar>
              <w:top w:w="100" w:type="dxa"/>
              <w:left w:w="100" w:type="dxa"/>
              <w:bottom w:w="100" w:type="dxa"/>
              <w:right w:w="100" w:type="dxa"/>
            </w:tcMar>
          </w:tcPr>
          <w:p w14:paraId="2E2956D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Enjoyment, Preference.</w:t>
            </w:r>
          </w:p>
        </w:tc>
        <w:tc>
          <w:tcPr>
            <w:tcW w:w="1275" w:type="dxa"/>
            <w:shd w:val="clear" w:color="auto" w:fill="auto"/>
            <w:tcMar>
              <w:top w:w="100" w:type="dxa"/>
              <w:left w:w="100" w:type="dxa"/>
              <w:bottom w:w="100" w:type="dxa"/>
              <w:right w:w="100" w:type="dxa"/>
            </w:tcMar>
          </w:tcPr>
          <w:p w14:paraId="02F4C1E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Multiplayer, avatar presence, graphics.</w:t>
            </w:r>
          </w:p>
        </w:tc>
        <w:tc>
          <w:tcPr>
            <w:tcW w:w="4620" w:type="dxa"/>
            <w:shd w:val="clear" w:color="auto" w:fill="auto"/>
            <w:tcMar>
              <w:top w:w="100" w:type="dxa"/>
              <w:left w:w="100" w:type="dxa"/>
              <w:bottom w:w="100" w:type="dxa"/>
              <w:right w:w="100" w:type="dxa"/>
            </w:tcMar>
          </w:tcPr>
          <w:p w14:paraId="02BEBDC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6 factors that represent design features that influence enjoyment of a video game: Fantasy, Exploration, Fidelity, Companionship, Challenge, Competition.</w:t>
            </w:r>
          </w:p>
        </w:tc>
      </w:tr>
      <w:tr w:rsidR="00B862B4" w14:paraId="6EFF9F53" w14:textId="77777777" w:rsidTr="003055DF">
        <w:tc>
          <w:tcPr>
            <w:tcW w:w="1065" w:type="dxa"/>
            <w:tcBorders>
              <w:top w:val="nil"/>
              <w:left w:val="nil"/>
              <w:bottom w:val="nil"/>
              <w:right w:val="nil"/>
            </w:tcBorders>
            <w:tcMar>
              <w:top w:w="40" w:type="dxa"/>
              <w:left w:w="40" w:type="dxa"/>
              <w:bottom w:w="40" w:type="dxa"/>
              <w:right w:w="40" w:type="dxa"/>
            </w:tcMar>
          </w:tcPr>
          <w:p w14:paraId="5AB0F1E1"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Schmierbach</w:t>
            </w:r>
            <w:proofErr w:type="spellEnd"/>
            <w:r>
              <w:rPr>
                <w:rFonts w:ascii="Times New Roman" w:eastAsia="Times New Roman" w:hAnsi="Times New Roman" w:cs="Times New Roman"/>
                <w:sz w:val="16"/>
                <w:szCs w:val="16"/>
              </w:rPr>
              <w:t xml:space="preserve"> et al. (2012)</w:t>
            </w:r>
          </w:p>
        </w:tc>
        <w:tc>
          <w:tcPr>
            <w:tcW w:w="1185" w:type="dxa"/>
            <w:shd w:val="clear" w:color="auto" w:fill="auto"/>
            <w:tcMar>
              <w:top w:w="100" w:type="dxa"/>
              <w:left w:w="100" w:type="dxa"/>
              <w:bottom w:w="100" w:type="dxa"/>
              <w:right w:w="100" w:type="dxa"/>
            </w:tcMar>
          </w:tcPr>
          <w:p w14:paraId="513C27F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RCT</w:t>
            </w:r>
          </w:p>
        </w:tc>
        <w:tc>
          <w:tcPr>
            <w:tcW w:w="3060" w:type="dxa"/>
            <w:shd w:val="clear" w:color="auto" w:fill="auto"/>
            <w:tcMar>
              <w:top w:w="100" w:type="dxa"/>
              <w:left w:w="100" w:type="dxa"/>
              <w:bottom w:w="100" w:type="dxa"/>
              <w:right w:w="100" w:type="dxa"/>
            </w:tcMar>
          </w:tcPr>
          <w:p w14:paraId="0BD5354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139 students were recruited from two communication classes in a large northeastern U.S. university. 51.8% of participants were female</w:t>
            </w:r>
          </w:p>
        </w:tc>
        <w:tc>
          <w:tcPr>
            <w:tcW w:w="1110" w:type="dxa"/>
            <w:shd w:val="clear" w:color="auto" w:fill="auto"/>
            <w:tcMar>
              <w:top w:w="100" w:type="dxa"/>
              <w:left w:w="100" w:type="dxa"/>
              <w:bottom w:w="100" w:type="dxa"/>
              <w:right w:w="100" w:type="dxa"/>
            </w:tcMar>
          </w:tcPr>
          <w:p w14:paraId="0D69876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Enjoyment.</w:t>
            </w:r>
          </w:p>
        </w:tc>
        <w:tc>
          <w:tcPr>
            <w:tcW w:w="1275" w:type="dxa"/>
            <w:shd w:val="clear" w:color="auto" w:fill="auto"/>
            <w:tcMar>
              <w:top w:w="100" w:type="dxa"/>
              <w:left w:w="100" w:type="dxa"/>
              <w:bottom w:w="100" w:type="dxa"/>
              <w:right w:w="100" w:type="dxa"/>
            </w:tcMar>
          </w:tcPr>
          <w:p w14:paraId="247C9DD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Multiplayer.</w:t>
            </w:r>
          </w:p>
        </w:tc>
        <w:tc>
          <w:tcPr>
            <w:tcW w:w="4620" w:type="dxa"/>
            <w:shd w:val="clear" w:color="auto" w:fill="auto"/>
            <w:tcMar>
              <w:top w:w="100" w:type="dxa"/>
              <w:left w:w="100" w:type="dxa"/>
              <w:bottom w:w="100" w:type="dxa"/>
              <w:right w:w="100" w:type="dxa"/>
            </w:tcMar>
          </w:tcPr>
          <w:p w14:paraId="5BBFFAA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Competitive play was more enjoyable than solo play, but cooperative play was not. Participants in the friendly and competitive condition reported significantly higher enjoyment than those in the solo condition or either cooperative condition.</w:t>
            </w:r>
          </w:p>
        </w:tc>
      </w:tr>
      <w:tr w:rsidR="00B862B4" w14:paraId="711F8991" w14:textId="77777777" w:rsidTr="003055DF">
        <w:tc>
          <w:tcPr>
            <w:tcW w:w="1065" w:type="dxa"/>
            <w:tcBorders>
              <w:top w:val="nil"/>
              <w:left w:val="nil"/>
              <w:bottom w:val="nil"/>
              <w:right w:val="nil"/>
            </w:tcBorders>
            <w:tcMar>
              <w:top w:w="40" w:type="dxa"/>
              <w:left w:w="40" w:type="dxa"/>
              <w:bottom w:w="40" w:type="dxa"/>
              <w:right w:w="40" w:type="dxa"/>
            </w:tcMar>
          </w:tcPr>
          <w:p w14:paraId="5F901801"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Smyth (2007)</w:t>
            </w:r>
          </w:p>
        </w:tc>
        <w:tc>
          <w:tcPr>
            <w:tcW w:w="1185" w:type="dxa"/>
            <w:shd w:val="clear" w:color="auto" w:fill="auto"/>
            <w:tcMar>
              <w:top w:w="100" w:type="dxa"/>
              <w:left w:w="100" w:type="dxa"/>
              <w:bottom w:w="100" w:type="dxa"/>
              <w:right w:w="100" w:type="dxa"/>
            </w:tcMar>
          </w:tcPr>
          <w:p w14:paraId="35F5CB1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RCT</w:t>
            </w:r>
          </w:p>
        </w:tc>
        <w:tc>
          <w:tcPr>
            <w:tcW w:w="3060" w:type="dxa"/>
            <w:shd w:val="clear" w:color="auto" w:fill="auto"/>
            <w:tcMar>
              <w:top w:w="100" w:type="dxa"/>
              <w:left w:w="100" w:type="dxa"/>
              <w:bottom w:w="100" w:type="dxa"/>
              <w:right w:w="100" w:type="dxa"/>
            </w:tcMar>
          </w:tcPr>
          <w:p w14:paraId="317CD3F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Participants in this study were 100 university </w:t>
            </w:r>
            <w:proofErr w:type="spellStart"/>
            <w:r>
              <w:rPr>
                <w:rFonts w:ascii="Times New Roman" w:eastAsia="Times New Roman" w:hAnsi="Times New Roman" w:cs="Times New Roman"/>
                <w:sz w:val="16"/>
                <w:szCs w:val="16"/>
                <w:highlight w:val="white"/>
              </w:rPr>
              <w:t>stu</w:t>
            </w:r>
            <w:proofErr w:type="spellEnd"/>
            <w:r>
              <w:rPr>
                <w:rFonts w:ascii="Times New Roman" w:eastAsia="Times New Roman" w:hAnsi="Times New Roman" w:cs="Times New Roman"/>
                <w:sz w:val="16"/>
                <w:szCs w:val="16"/>
                <w:highlight w:val="white"/>
              </w:rPr>
              <w:t>- dent volunteers (73 males, 27 females). Participants were 18 to 20 years old (M 19.2), the majority were Caucasian (n = 68), and the remainder were African American (n = 18), Asian (n = 13), or not specified (n = 1).</w:t>
            </w:r>
          </w:p>
        </w:tc>
        <w:tc>
          <w:tcPr>
            <w:tcW w:w="1110" w:type="dxa"/>
            <w:shd w:val="clear" w:color="auto" w:fill="auto"/>
            <w:tcMar>
              <w:top w:w="100" w:type="dxa"/>
              <w:left w:w="100" w:type="dxa"/>
              <w:bottom w:w="100" w:type="dxa"/>
              <w:right w:w="100" w:type="dxa"/>
            </w:tcMar>
          </w:tcPr>
          <w:p w14:paraId="1CDCCE27"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Willingness to Continue, Enjoyment, Time Spent Gaming.</w:t>
            </w:r>
          </w:p>
        </w:tc>
        <w:tc>
          <w:tcPr>
            <w:tcW w:w="1275" w:type="dxa"/>
            <w:shd w:val="clear" w:color="auto" w:fill="auto"/>
            <w:tcMar>
              <w:top w:w="100" w:type="dxa"/>
              <w:left w:w="100" w:type="dxa"/>
              <w:bottom w:w="100" w:type="dxa"/>
              <w:right w:w="100" w:type="dxa"/>
            </w:tcMar>
          </w:tcPr>
          <w:p w14:paraId="5DDD67B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General socialization features.</w:t>
            </w:r>
          </w:p>
        </w:tc>
        <w:tc>
          <w:tcPr>
            <w:tcW w:w="4620" w:type="dxa"/>
            <w:shd w:val="clear" w:color="auto" w:fill="auto"/>
            <w:tcMar>
              <w:top w:w="100" w:type="dxa"/>
              <w:left w:w="100" w:type="dxa"/>
              <w:bottom w:w="100" w:type="dxa"/>
              <w:right w:w="100" w:type="dxa"/>
            </w:tcMar>
          </w:tcPr>
          <w:p w14:paraId="11E09E24"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MMORPG group reported, on average, substantially more hours played in the previous week. MMORPG exerted a significantly greater influence on usage behavior than the other video games.</w:t>
            </w:r>
          </w:p>
        </w:tc>
      </w:tr>
      <w:tr w:rsidR="00B862B4" w14:paraId="446C67F4" w14:textId="77777777" w:rsidTr="003055DF">
        <w:tc>
          <w:tcPr>
            <w:tcW w:w="1065" w:type="dxa"/>
            <w:tcBorders>
              <w:top w:val="nil"/>
              <w:left w:val="nil"/>
              <w:bottom w:val="nil"/>
              <w:right w:val="nil"/>
            </w:tcBorders>
            <w:tcMar>
              <w:top w:w="40" w:type="dxa"/>
              <w:left w:w="40" w:type="dxa"/>
              <w:bottom w:w="40" w:type="dxa"/>
              <w:right w:w="40" w:type="dxa"/>
            </w:tcMar>
          </w:tcPr>
          <w:p w14:paraId="61ED6C3F"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Takatalo</w:t>
            </w:r>
            <w:proofErr w:type="spellEnd"/>
            <w:r>
              <w:rPr>
                <w:rFonts w:ascii="Times New Roman" w:eastAsia="Times New Roman" w:hAnsi="Times New Roman" w:cs="Times New Roman"/>
                <w:sz w:val="16"/>
                <w:szCs w:val="16"/>
              </w:rPr>
              <w:t xml:space="preserve"> et al. (2011)</w:t>
            </w:r>
          </w:p>
        </w:tc>
        <w:tc>
          <w:tcPr>
            <w:tcW w:w="1185" w:type="dxa"/>
            <w:shd w:val="clear" w:color="auto" w:fill="auto"/>
            <w:tcMar>
              <w:top w:w="100" w:type="dxa"/>
              <w:left w:w="100" w:type="dxa"/>
              <w:bottom w:w="100" w:type="dxa"/>
              <w:right w:w="100" w:type="dxa"/>
            </w:tcMar>
          </w:tcPr>
          <w:p w14:paraId="6C5E8E5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RCT</w:t>
            </w:r>
          </w:p>
        </w:tc>
        <w:tc>
          <w:tcPr>
            <w:tcW w:w="3060" w:type="dxa"/>
            <w:shd w:val="clear" w:color="auto" w:fill="auto"/>
            <w:tcMar>
              <w:top w:w="100" w:type="dxa"/>
              <w:left w:w="100" w:type="dxa"/>
              <w:bottom w:w="100" w:type="dxa"/>
              <w:right w:w="100" w:type="dxa"/>
            </w:tcMar>
          </w:tcPr>
          <w:p w14:paraId="0288920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91 university students (42 males, 49 females) - mean age of the participants was 23.7 years (SD D 3.23 years). Most of the participants (85.7%) were fulltime students. The majority (68.3%) of the participants in either of the two stereo conditions (medium or high) had previous experience with stereoscopic images (films, </w:t>
            </w:r>
            <w:proofErr w:type="spellStart"/>
            <w:r>
              <w:rPr>
                <w:rFonts w:ascii="Times New Roman" w:eastAsia="Times New Roman" w:hAnsi="Times New Roman" w:cs="Times New Roman"/>
                <w:sz w:val="16"/>
                <w:szCs w:val="16"/>
              </w:rPr>
              <w:t>autostereograms</w:t>
            </w:r>
            <w:proofErr w:type="spellEnd"/>
            <w:r>
              <w:rPr>
                <w:rFonts w:ascii="Times New Roman" w:eastAsia="Times New Roman" w:hAnsi="Times New Roman" w:cs="Times New Roman"/>
                <w:sz w:val="16"/>
                <w:szCs w:val="16"/>
              </w:rPr>
              <w:t>, or books).</w:t>
            </w:r>
          </w:p>
        </w:tc>
        <w:tc>
          <w:tcPr>
            <w:tcW w:w="1110" w:type="dxa"/>
            <w:shd w:val="clear" w:color="auto" w:fill="auto"/>
            <w:tcMar>
              <w:top w:w="100" w:type="dxa"/>
              <w:left w:w="100" w:type="dxa"/>
              <w:bottom w:w="100" w:type="dxa"/>
              <w:right w:w="100" w:type="dxa"/>
            </w:tcMar>
          </w:tcPr>
          <w:p w14:paraId="4C57D7C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 Flow.</w:t>
            </w:r>
          </w:p>
        </w:tc>
        <w:tc>
          <w:tcPr>
            <w:tcW w:w="1275" w:type="dxa"/>
            <w:shd w:val="clear" w:color="auto" w:fill="auto"/>
            <w:tcMar>
              <w:top w:w="100" w:type="dxa"/>
              <w:left w:w="100" w:type="dxa"/>
              <w:bottom w:w="100" w:type="dxa"/>
              <w:right w:w="100" w:type="dxa"/>
            </w:tcMar>
          </w:tcPr>
          <w:p w14:paraId="60FD21E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Graphics.</w:t>
            </w:r>
          </w:p>
        </w:tc>
        <w:tc>
          <w:tcPr>
            <w:tcW w:w="4620" w:type="dxa"/>
            <w:shd w:val="clear" w:color="auto" w:fill="auto"/>
            <w:tcMar>
              <w:top w:w="100" w:type="dxa"/>
              <w:left w:w="100" w:type="dxa"/>
              <w:bottom w:w="100" w:type="dxa"/>
              <w:right w:w="100" w:type="dxa"/>
            </w:tcMar>
          </w:tcPr>
          <w:p w14:paraId="6A0B093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 best experience was in the medium stereo condition (it elicited a higher sense of presence compared to the 2D or high stereo conditions). Thus, it is not stereo per se, but the right amount of it that makes the difference. No differences in experienced involvement or flow, negative symptoms, or game performance between the groups.</w:t>
            </w:r>
          </w:p>
        </w:tc>
      </w:tr>
      <w:tr w:rsidR="00B862B4" w14:paraId="0D721FEF" w14:textId="77777777" w:rsidTr="003055DF">
        <w:tc>
          <w:tcPr>
            <w:tcW w:w="1065" w:type="dxa"/>
            <w:tcBorders>
              <w:top w:val="nil"/>
              <w:left w:val="nil"/>
              <w:bottom w:val="nil"/>
              <w:right w:val="nil"/>
            </w:tcBorders>
            <w:tcMar>
              <w:top w:w="40" w:type="dxa"/>
              <w:left w:w="40" w:type="dxa"/>
              <w:bottom w:w="40" w:type="dxa"/>
              <w:right w:w="40" w:type="dxa"/>
            </w:tcMar>
          </w:tcPr>
          <w:p w14:paraId="0DDCDC9A"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lastRenderedPageBreak/>
              <w:t>Tavakkoli</w:t>
            </w:r>
            <w:proofErr w:type="spellEnd"/>
            <w:r>
              <w:rPr>
                <w:rFonts w:ascii="Times New Roman" w:eastAsia="Times New Roman" w:hAnsi="Times New Roman" w:cs="Times New Roman"/>
                <w:sz w:val="16"/>
                <w:szCs w:val="16"/>
              </w:rPr>
              <w:t xml:space="preserve"> et al. (2014)</w:t>
            </w:r>
          </w:p>
        </w:tc>
        <w:tc>
          <w:tcPr>
            <w:tcW w:w="1185" w:type="dxa"/>
            <w:shd w:val="clear" w:color="auto" w:fill="auto"/>
            <w:tcMar>
              <w:top w:w="100" w:type="dxa"/>
              <w:left w:w="100" w:type="dxa"/>
              <w:bottom w:w="100" w:type="dxa"/>
              <w:right w:w="100" w:type="dxa"/>
            </w:tcMar>
          </w:tcPr>
          <w:p w14:paraId="6D07B51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5BBA450F"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95. </w:t>
            </w:r>
            <w:r>
              <w:rPr>
                <w:rFonts w:ascii="Times New Roman" w:eastAsia="Times New Roman" w:hAnsi="Times New Roman" w:cs="Times New Roman"/>
                <w:sz w:val="16"/>
                <w:szCs w:val="16"/>
                <w:highlight w:val="white"/>
              </w:rPr>
              <w:t xml:space="preserve">76% male and 24% female. Participants were undergraduate (80%) and graduate (20%) students from the University of Houston—Victoria. </w:t>
            </w:r>
            <w:proofErr w:type="gramStart"/>
            <w:r>
              <w:rPr>
                <w:rFonts w:ascii="Times New Roman" w:eastAsia="Times New Roman" w:hAnsi="Times New Roman" w:cs="Times New Roman"/>
                <w:sz w:val="16"/>
                <w:szCs w:val="16"/>
                <w:highlight w:val="white"/>
              </w:rPr>
              <w:t>Participants’</w:t>
            </w:r>
            <w:proofErr w:type="gramEnd"/>
            <w:r>
              <w:rPr>
                <w:rFonts w:ascii="Times New Roman" w:eastAsia="Times New Roman" w:hAnsi="Times New Roman" w:cs="Times New Roman"/>
                <w:sz w:val="16"/>
                <w:szCs w:val="16"/>
                <w:highlight w:val="white"/>
              </w:rPr>
              <w:t xml:space="preserve"> ranged in age from 18 to 59. 60% of the participants were 18-25, 19% were 25-30, 16% were 30-39, 4% were 40-49, and 1% were 50-59.  11% were African American, 9% Asian, 25% Hispanic, 1% Native American, and 54% Caucasian.</w:t>
            </w:r>
          </w:p>
        </w:tc>
        <w:tc>
          <w:tcPr>
            <w:tcW w:w="1110" w:type="dxa"/>
            <w:shd w:val="clear" w:color="auto" w:fill="auto"/>
            <w:tcMar>
              <w:top w:w="100" w:type="dxa"/>
              <w:left w:w="100" w:type="dxa"/>
              <w:bottom w:w="100" w:type="dxa"/>
              <w:right w:w="100" w:type="dxa"/>
            </w:tcMar>
          </w:tcPr>
          <w:p w14:paraId="13F8424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 Preference.</w:t>
            </w:r>
          </w:p>
        </w:tc>
        <w:tc>
          <w:tcPr>
            <w:tcW w:w="1275" w:type="dxa"/>
            <w:shd w:val="clear" w:color="auto" w:fill="auto"/>
            <w:tcMar>
              <w:top w:w="100" w:type="dxa"/>
              <w:left w:w="100" w:type="dxa"/>
              <w:bottom w:w="100" w:type="dxa"/>
              <w:right w:w="100" w:type="dxa"/>
            </w:tcMar>
          </w:tcPr>
          <w:p w14:paraId="3613012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Realistic Graphics, Realistic Sound, In-game Avatar Customizability, In-game items/rewards, Artificial Intelligence, In-game character narration, Game storyline, Intellectual Interactions.</w:t>
            </w:r>
          </w:p>
        </w:tc>
        <w:tc>
          <w:tcPr>
            <w:tcW w:w="4620" w:type="dxa"/>
            <w:shd w:val="clear" w:color="auto" w:fill="auto"/>
            <w:tcMar>
              <w:top w:w="100" w:type="dxa"/>
              <w:left w:w="100" w:type="dxa"/>
              <w:bottom w:w="100" w:type="dxa"/>
              <w:right w:w="100" w:type="dxa"/>
            </w:tcMar>
          </w:tcPr>
          <w:p w14:paraId="1220BFF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rPr>
              <w:t xml:space="preserve">Participants found intellectual interactions within the game (presence of puzzles, fulfilling quests, etc. to be important (preference). Rapid absorption was considered more important than speaking characters/narration. </w:t>
            </w:r>
            <w:proofErr w:type="gramStart"/>
            <w:r>
              <w:rPr>
                <w:rFonts w:ascii="Times New Roman" w:eastAsia="Times New Roman" w:hAnsi="Times New Roman" w:cs="Times New Roman"/>
                <w:sz w:val="17"/>
                <w:szCs w:val="17"/>
              </w:rPr>
              <w:t>The majority of</w:t>
            </w:r>
            <w:proofErr w:type="gramEnd"/>
            <w:r>
              <w:rPr>
                <w:rFonts w:ascii="Times New Roman" w:eastAsia="Times New Roman" w:hAnsi="Times New Roman" w:cs="Times New Roman"/>
                <w:sz w:val="17"/>
                <w:szCs w:val="17"/>
              </w:rPr>
              <w:t xml:space="preserve"> players found collecting things, AI, and rapid advancement in the game to be important. Realistic sound and graphics were also considered important. Customizability of the in-game characters was also considered important.</w:t>
            </w:r>
          </w:p>
        </w:tc>
      </w:tr>
      <w:tr w:rsidR="00B862B4" w14:paraId="2CF1D1E5" w14:textId="77777777" w:rsidTr="003055DF">
        <w:tc>
          <w:tcPr>
            <w:tcW w:w="1065" w:type="dxa"/>
            <w:tcBorders>
              <w:top w:val="nil"/>
              <w:left w:val="nil"/>
              <w:bottom w:val="nil"/>
              <w:right w:val="nil"/>
            </w:tcBorders>
            <w:tcMar>
              <w:top w:w="40" w:type="dxa"/>
              <w:left w:w="40" w:type="dxa"/>
              <w:bottom w:w="40" w:type="dxa"/>
              <w:right w:w="40" w:type="dxa"/>
            </w:tcMar>
          </w:tcPr>
          <w:p w14:paraId="6E3FD130" w14:textId="77777777" w:rsidR="00B862B4" w:rsidRDefault="00B862B4" w:rsidP="003055DF">
            <w:pPr>
              <w:widowControl w:val="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Tavakkoli</w:t>
            </w:r>
            <w:proofErr w:type="spellEnd"/>
            <w:r>
              <w:rPr>
                <w:rFonts w:ascii="Times New Roman" w:eastAsia="Times New Roman" w:hAnsi="Times New Roman" w:cs="Times New Roman"/>
                <w:sz w:val="16"/>
                <w:szCs w:val="16"/>
              </w:rPr>
              <w:t xml:space="preserve"> et al. (2015)</w:t>
            </w:r>
          </w:p>
        </w:tc>
        <w:tc>
          <w:tcPr>
            <w:tcW w:w="1185" w:type="dxa"/>
            <w:shd w:val="clear" w:color="auto" w:fill="auto"/>
            <w:tcMar>
              <w:top w:w="100" w:type="dxa"/>
              <w:left w:w="100" w:type="dxa"/>
              <w:bottom w:w="100" w:type="dxa"/>
              <w:right w:w="100" w:type="dxa"/>
            </w:tcMar>
          </w:tcPr>
          <w:p w14:paraId="21491593" w14:textId="77777777" w:rsidR="00B862B4" w:rsidRDefault="00B862B4" w:rsidP="003055DF">
            <w:pPr>
              <w:widowControl w:val="0"/>
              <w:spacing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nRCT</w:t>
            </w:r>
            <w:proofErr w:type="spellEnd"/>
          </w:p>
        </w:tc>
        <w:tc>
          <w:tcPr>
            <w:tcW w:w="3060" w:type="dxa"/>
            <w:shd w:val="clear" w:color="auto" w:fill="auto"/>
            <w:tcMar>
              <w:top w:w="100" w:type="dxa"/>
              <w:left w:w="100" w:type="dxa"/>
              <w:bottom w:w="100" w:type="dxa"/>
              <w:right w:w="100" w:type="dxa"/>
            </w:tcMar>
          </w:tcPr>
          <w:p w14:paraId="0BCD7B0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i/>
                <w:sz w:val="16"/>
                <w:szCs w:val="16"/>
              </w:rPr>
              <w:t>N</w:t>
            </w:r>
            <w:r>
              <w:rPr>
                <w:rFonts w:ascii="Times New Roman" w:eastAsia="Times New Roman" w:hAnsi="Times New Roman" w:cs="Times New Roman"/>
                <w:sz w:val="16"/>
                <w:szCs w:val="16"/>
              </w:rPr>
              <w:t xml:space="preserve"> = 95. </w:t>
            </w:r>
            <w:r>
              <w:rPr>
                <w:rFonts w:ascii="Times New Roman" w:eastAsia="Times New Roman" w:hAnsi="Times New Roman" w:cs="Times New Roman"/>
                <w:sz w:val="16"/>
                <w:szCs w:val="16"/>
                <w:highlight w:val="white"/>
              </w:rPr>
              <w:t>72 (76%) male and 23 (24%) female students. Students were from undergraduate (80%</w:t>
            </w:r>
            <w:proofErr w:type="gramStart"/>
            <w:r>
              <w:rPr>
                <w:rFonts w:ascii="Times New Roman" w:eastAsia="Times New Roman" w:hAnsi="Times New Roman" w:cs="Times New Roman"/>
                <w:sz w:val="16"/>
                <w:szCs w:val="16"/>
                <w:highlight w:val="white"/>
              </w:rPr>
              <w:t>)</w:t>
            </w:r>
            <w:proofErr w:type="gramEnd"/>
            <w:r>
              <w:rPr>
                <w:rFonts w:ascii="Times New Roman" w:eastAsia="Times New Roman" w:hAnsi="Times New Roman" w:cs="Times New Roman"/>
                <w:sz w:val="16"/>
                <w:szCs w:val="16"/>
                <w:highlight w:val="white"/>
              </w:rPr>
              <w:t xml:space="preserve"> and graduate (20%) programs actively enrolled at the University of Houston—Victoria. </w:t>
            </w:r>
            <w:proofErr w:type="gramStart"/>
            <w:r>
              <w:rPr>
                <w:rFonts w:ascii="Times New Roman" w:eastAsia="Times New Roman" w:hAnsi="Times New Roman" w:cs="Times New Roman"/>
                <w:sz w:val="16"/>
                <w:szCs w:val="16"/>
                <w:highlight w:val="white"/>
              </w:rPr>
              <w:t>Participants’</w:t>
            </w:r>
            <w:proofErr w:type="gramEnd"/>
            <w:r>
              <w:rPr>
                <w:rFonts w:ascii="Times New Roman" w:eastAsia="Times New Roman" w:hAnsi="Times New Roman" w:cs="Times New Roman"/>
                <w:sz w:val="16"/>
                <w:szCs w:val="16"/>
                <w:highlight w:val="white"/>
              </w:rPr>
              <w:t xml:space="preserve"> ranged in age from 18 to 59. </w:t>
            </w:r>
          </w:p>
        </w:tc>
        <w:tc>
          <w:tcPr>
            <w:tcW w:w="1110" w:type="dxa"/>
            <w:shd w:val="clear" w:color="auto" w:fill="auto"/>
            <w:tcMar>
              <w:top w:w="100" w:type="dxa"/>
              <w:left w:w="100" w:type="dxa"/>
              <w:bottom w:w="100" w:type="dxa"/>
              <w:right w:w="100" w:type="dxa"/>
            </w:tcMar>
          </w:tcPr>
          <w:p w14:paraId="64F6629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w:t>
            </w:r>
          </w:p>
        </w:tc>
        <w:tc>
          <w:tcPr>
            <w:tcW w:w="1275" w:type="dxa"/>
            <w:shd w:val="clear" w:color="auto" w:fill="auto"/>
            <w:tcMar>
              <w:top w:w="100" w:type="dxa"/>
              <w:left w:w="100" w:type="dxa"/>
              <w:bottom w:w="100" w:type="dxa"/>
              <w:right w:w="100" w:type="dxa"/>
            </w:tcMar>
          </w:tcPr>
          <w:p w14:paraId="5B31E00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Graphics, sound, avatar creation / customizability, storytelling device features, multiplayer.</w:t>
            </w:r>
          </w:p>
        </w:tc>
        <w:tc>
          <w:tcPr>
            <w:tcW w:w="4620" w:type="dxa"/>
            <w:shd w:val="clear" w:color="auto" w:fill="auto"/>
            <w:tcMar>
              <w:top w:w="100" w:type="dxa"/>
              <w:left w:w="100" w:type="dxa"/>
              <w:bottom w:w="100" w:type="dxa"/>
              <w:right w:w="100" w:type="dxa"/>
            </w:tcMar>
          </w:tcPr>
          <w:p w14:paraId="236D235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 xml:space="preserve">Significant differences between the 5 game clusters of the Game Characteristics Survey. Satisfaction and motivation to play is influenced by Social, Narrative, and Aesthetic qualities of the videogame. </w:t>
            </w:r>
          </w:p>
        </w:tc>
      </w:tr>
      <w:tr w:rsidR="00B862B4" w14:paraId="0CBAE1DB" w14:textId="77777777" w:rsidTr="003055DF">
        <w:tc>
          <w:tcPr>
            <w:tcW w:w="1065" w:type="dxa"/>
            <w:tcBorders>
              <w:left w:val="nil"/>
              <w:bottom w:val="nil"/>
              <w:right w:val="nil"/>
            </w:tcBorders>
            <w:tcMar>
              <w:top w:w="40" w:type="dxa"/>
              <w:left w:w="40" w:type="dxa"/>
              <w:bottom w:w="40" w:type="dxa"/>
              <w:right w:w="40" w:type="dxa"/>
            </w:tcMar>
          </w:tcPr>
          <w:p w14:paraId="540DF962"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Westwood &amp; Griffiths (2010)</w:t>
            </w:r>
          </w:p>
        </w:tc>
        <w:tc>
          <w:tcPr>
            <w:tcW w:w="1185" w:type="dxa"/>
            <w:shd w:val="clear" w:color="auto" w:fill="auto"/>
            <w:tcMar>
              <w:top w:w="100" w:type="dxa"/>
              <w:left w:w="100" w:type="dxa"/>
              <w:bottom w:w="100" w:type="dxa"/>
              <w:right w:w="100" w:type="dxa"/>
            </w:tcMar>
          </w:tcPr>
          <w:p w14:paraId="37251179"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Mixed</w:t>
            </w:r>
          </w:p>
        </w:tc>
        <w:tc>
          <w:tcPr>
            <w:tcW w:w="3060" w:type="dxa"/>
            <w:shd w:val="clear" w:color="auto" w:fill="auto"/>
            <w:tcMar>
              <w:top w:w="100" w:type="dxa"/>
              <w:left w:w="100" w:type="dxa"/>
              <w:bottom w:w="100" w:type="dxa"/>
              <w:right w:w="100" w:type="dxa"/>
            </w:tcMar>
          </w:tcPr>
          <w:p w14:paraId="241C25E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The participants comprised 40 gamers (38 males and 2 females) all aged between 18 and 40 years (with 90% of the sample aged below 30 years). Participants played for a mean average of 11.5 hours a week, ranging from 1 to 50 hours a week.</w:t>
            </w:r>
          </w:p>
        </w:tc>
        <w:tc>
          <w:tcPr>
            <w:tcW w:w="1110" w:type="dxa"/>
            <w:shd w:val="clear" w:color="auto" w:fill="auto"/>
            <w:tcMar>
              <w:top w:w="100" w:type="dxa"/>
              <w:left w:w="100" w:type="dxa"/>
              <w:bottom w:w="100" w:type="dxa"/>
              <w:right w:w="100" w:type="dxa"/>
            </w:tcMar>
          </w:tcPr>
          <w:p w14:paraId="66E5D0D3"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 Time Spent Gaming.</w:t>
            </w:r>
          </w:p>
        </w:tc>
        <w:tc>
          <w:tcPr>
            <w:tcW w:w="1275" w:type="dxa"/>
            <w:shd w:val="clear" w:color="auto" w:fill="auto"/>
            <w:tcMar>
              <w:top w:w="100" w:type="dxa"/>
              <w:left w:w="100" w:type="dxa"/>
              <w:bottom w:w="100" w:type="dxa"/>
              <w:right w:w="100" w:type="dxa"/>
            </w:tcMar>
          </w:tcPr>
          <w:p w14:paraId="19890F50"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 xml:space="preserve">Multiplayer, leader board, save feature, scripted events, avatar creation, storytelling, Genre (RPG), experience points (XP) / leveling up, </w:t>
            </w:r>
            <w:r>
              <w:rPr>
                <w:rFonts w:ascii="Times New Roman" w:eastAsia="Times New Roman" w:hAnsi="Times New Roman" w:cs="Times New Roman"/>
                <w:sz w:val="16"/>
                <w:szCs w:val="16"/>
                <w:highlight w:val="white"/>
              </w:rPr>
              <w:t>scheduled rewards / payout interval</w:t>
            </w:r>
            <w:r>
              <w:rPr>
                <w:rFonts w:ascii="Times New Roman" w:eastAsia="Times New Roman" w:hAnsi="Times New Roman" w:cs="Times New Roman"/>
                <w:sz w:val="17"/>
                <w:szCs w:val="17"/>
                <w:highlight w:val="white"/>
              </w:rPr>
              <w:t xml:space="preserve">, graphics, franchise features, advertisements, sound. </w:t>
            </w:r>
          </w:p>
        </w:tc>
        <w:tc>
          <w:tcPr>
            <w:tcW w:w="4620" w:type="dxa"/>
            <w:shd w:val="clear" w:color="auto" w:fill="auto"/>
            <w:tcMar>
              <w:top w:w="100" w:type="dxa"/>
              <w:left w:w="100" w:type="dxa"/>
              <w:bottom w:w="100" w:type="dxa"/>
              <w:right w:w="100" w:type="dxa"/>
            </w:tcMar>
          </w:tcPr>
          <w:p w14:paraId="3A1D2FA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Six factors (A, B, C, D, E, F) were identified. Ranked in order of time spent playing: Factor D (hardcore online), Factor E (solo control / identity), Factor A (story-driven), Factor C (solo limited), Factor B (social), and Factor F (casual).</w:t>
            </w:r>
          </w:p>
        </w:tc>
      </w:tr>
      <w:tr w:rsidR="00B862B4" w14:paraId="195FA834" w14:textId="77777777" w:rsidTr="003055DF">
        <w:tc>
          <w:tcPr>
            <w:tcW w:w="1065" w:type="dxa"/>
            <w:tcBorders>
              <w:top w:val="nil"/>
              <w:left w:val="nil"/>
              <w:bottom w:val="nil"/>
              <w:right w:val="nil"/>
            </w:tcBorders>
            <w:tcMar>
              <w:top w:w="40" w:type="dxa"/>
              <w:left w:w="40" w:type="dxa"/>
              <w:bottom w:w="40" w:type="dxa"/>
              <w:right w:w="40" w:type="dxa"/>
            </w:tcMar>
          </w:tcPr>
          <w:p w14:paraId="78775882"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Wood et al. (2004)</w:t>
            </w:r>
          </w:p>
        </w:tc>
        <w:tc>
          <w:tcPr>
            <w:tcW w:w="1185" w:type="dxa"/>
            <w:shd w:val="clear" w:color="auto" w:fill="auto"/>
            <w:tcMar>
              <w:top w:w="100" w:type="dxa"/>
              <w:left w:w="100" w:type="dxa"/>
              <w:bottom w:w="100" w:type="dxa"/>
              <w:right w:w="100" w:type="dxa"/>
            </w:tcMar>
          </w:tcPr>
          <w:p w14:paraId="158B7E2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2373224B"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A total of 155 university participants (83 males and 72 females) with an average age of 26.93 were recruited for the present study.</w:t>
            </w:r>
          </w:p>
        </w:tc>
        <w:tc>
          <w:tcPr>
            <w:tcW w:w="1110" w:type="dxa"/>
            <w:shd w:val="clear" w:color="auto" w:fill="auto"/>
            <w:tcMar>
              <w:top w:w="100" w:type="dxa"/>
              <w:left w:w="100" w:type="dxa"/>
              <w:bottom w:w="100" w:type="dxa"/>
              <w:right w:w="100" w:type="dxa"/>
            </w:tcMar>
          </w:tcPr>
          <w:p w14:paraId="12F74A5A"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275" w:type="dxa"/>
            <w:shd w:val="clear" w:color="auto" w:fill="auto"/>
            <w:tcMar>
              <w:top w:w="100" w:type="dxa"/>
              <w:left w:w="100" w:type="dxa"/>
              <w:bottom w:w="100" w:type="dxa"/>
              <w:right w:w="100" w:type="dxa"/>
            </w:tcMar>
          </w:tcPr>
          <w:p w14:paraId="33EC0D87" w14:textId="77777777" w:rsidR="00B862B4" w:rsidRDefault="00B862B4" w:rsidP="003055DF">
            <w:pPr>
              <w:widowControl w:val="0"/>
              <w:spacing w:line="240" w:lineRule="auto"/>
              <w:rPr>
                <w:rFonts w:ascii="Times New Roman" w:eastAsia="Times New Roman" w:hAnsi="Times New Roman" w:cs="Times New Roman"/>
                <w:sz w:val="16"/>
                <w:szCs w:val="16"/>
              </w:rPr>
            </w:pPr>
          </w:p>
        </w:tc>
        <w:tc>
          <w:tcPr>
            <w:tcW w:w="4620" w:type="dxa"/>
            <w:shd w:val="clear" w:color="auto" w:fill="auto"/>
            <w:tcMar>
              <w:top w:w="100" w:type="dxa"/>
              <w:left w:w="100" w:type="dxa"/>
              <w:bottom w:w="100" w:type="dxa"/>
              <w:right w:w="100" w:type="dxa"/>
            </w:tcMar>
          </w:tcPr>
          <w:p w14:paraId="01CFBBA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The findings underscored the importance of realistic (good quality) sound, graphics, and setting. The success of a video game depended on a </w:t>
            </w:r>
            <w:proofErr w:type="gramStart"/>
            <w:r>
              <w:rPr>
                <w:rFonts w:ascii="Times New Roman" w:eastAsia="Times New Roman" w:hAnsi="Times New Roman" w:cs="Times New Roman"/>
                <w:sz w:val="16"/>
                <w:szCs w:val="16"/>
              </w:rPr>
              <w:t>fairly high</w:t>
            </w:r>
            <w:proofErr w:type="gramEnd"/>
            <w:r>
              <w:rPr>
                <w:rFonts w:ascii="Times New Roman" w:eastAsia="Times New Roman" w:hAnsi="Times New Roman" w:cs="Times New Roman"/>
                <w:sz w:val="16"/>
                <w:szCs w:val="16"/>
              </w:rPr>
              <w:t xml:space="preserve"> degree of realism both in terms of sounds and vision. Further evidence of the relative importance of </w:t>
            </w:r>
            <w:proofErr w:type="spellStart"/>
            <w:r>
              <w:rPr>
                <w:rFonts w:ascii="Times New Roman" w:eastAsia="Times New Roman" w:hAnsi="Times New Roman" w:cs="Times New Roman"/>
                <w:sz w:val="16"/>
                <w:szCs w:val="16"/>
              </w:rPr>
              <w:t>compeititivieness</w:t>
            </w:r>
            <w:proofErr w:type="spellEnd"/>
            <w:r>
              <w:rPr>
                <w:rFonts w:ascii="Times New Roman" w:eastAsia="Times New Roman" w:hAnsi="Times New Roman" w:cs="Times New Roman"/>
                <w:sz w:val="16"/>
                <w:szCs w:val="16"/>
              </w:rPr>
              <w:t xml:space="preserve">, multiplayer characteristics, winning and losing features, the ability </w:t>
            </w:r>
            <w:r>
              <w:rPr>
                <w:rFonts w:ascii="Times New Roman" w:eastAsia="Times New Roman" w:hAnsi="Times New Roman" w:cs="Times New Roman"/>
                <w:sz w:val="16"/>
                <w:szCs w:val="16"/>
              </w:rPr>
              <w:lastRenderedPageBreak/>
              <w:t xml:space="preserve">to save the game, joystick (controller), event duration, and violence are discussed. </w:t>
            </w:r>
          </w:p>
        </w:tc>
      </w:tr>
      <w:tr w:rsidR="00B862B4" w14:paraId="0B7AEAD6" w14:textId="77777777" w:rsidTr="003055DF">
        <w:tc>
          <w:tcPr>
            <w:tcW w:w="1065" w:type="dxa"/>
            <w:tcBorders>
              <w:top w:val="nil"/>
              <w:left w:val="nil"/>
              <w:bottom w:val="nil"/>
              <w:right w:val="nil"/>
            </w:tcBorders>
            <w:tcMar>
              <w:top w:w="40" w:type="dxa"/>
              <w:left w:w="40" w:type="dxa"/>
              <w:bottom w:w="40" w:type="dxa"/>
              <w:right w:w="40" w:type="dxa"/>
            </w:tcMar>
          </w:tcPr>
          <w:p w14:paraId="05C489E5"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Wood et al. (2007)</w:t>
            </w:r>
          </w:p>
        </w:tc>
        <w:tc>
          <w:tcPr>
            <w:tcW w:w="1185" w:type="dxa"/>
            <w:shd w:val="clear" w:color="auto" w:fill="auto"/>
            <w:tcMar>
              <w:top w:w="100" w:type="dxa"/>
              <w:left w:w="100" w:type="dxa"/>
              <w:bottom w:w="100" w:type="dxa"/>
              <w:right w:w="100" w:type="dxa"/>
            </w:tcMar>
          </w:tcPr>
          <w:p w14:paraId="5FEAC6BE"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Cross sectional</w:t>
            </w:r>
          </w:p>
        </w:tc>
        <w:tc>
          <w:tcPr>
            <w:tcW w:w="3060" w:type="dxa"/>
            <w:shd w:val="clear" w:color="auto" w:fill="auto"/>
            <w:tcMar>
              <w:top w:w="100" w:type="dxa"/>
              <w:left w:w="100" w:type="dxa"/>
              <w:bottom w:w="100" w:type="dxa"/>
              <w:right w:w="100" w:type="dxa"/>
            </w:tcMar>
          </w:tcPr>
          <w:p w14:paraId="4CD75BD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A total of 280 participants took part in the study (202 males and 78 females), and they had a mean age of 22.6 years (16–51 years; </w:t>
            </w:r>
            <w:proofErr w:type="gramStart"/>
            <w:r>
              <w:rPr>
                <w:rFonts w:ascii="Times New Roman" w:eastAsia="Times New Roman" w:hAnsi="Times New Roman" w:cs="Times New Roman"/>
                <w:sz w:val="16"/>
                <w:szCs w:val="16"/>
                <w:highlight w:val="white"/>
              </w:rPr>
              <w:t>SD  5.96</w:t>
            </w:r>
            <w:proofErr w:type="gramEnd"/>
            <w:r>
              <w:rPr>
                <w:rFonts w:ascii="Times New Roman" w:eastAsia="Times New Roman" w:hAnsi="Times New Roman" w:cs="Times New Roman"/>
                <w:sz w:val="16"/>
                <w:szCs w:val="16"/>
                <w:highlight w:val="white"/>
              </w:rPr>
              <w:t xml:space="preserve"> years). Participants were self-defined “gamers” recruited.</w:t>
            </w:r>
          </w:p>
        </w:tc>
        <w:tc>
          <w:tcPr>
            <w:tcW w:w="1110" w:type="dxa"/>
            <w:shd w:val="clear" w:color="auto" w:fill="auto"/>
            <w:tcMar>
              <w:top w:w="100" w:type="dxa"/>
              <w:left w:w="100" w:type="dxa"/>
              <w:bottom w:w="100" w:type="dxa"/>
              <w:right w:w="100" w:type="dxa"/>
            </w:tcMar>
          </w:tcPr>
          <w:p w14:paraId="7CEB0165"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Time Spent Gaming, Immersion.</w:t>
            </w:r>
          </w:p>
        </w:tc>
        <w:tc>
          <w:tcPr>
            <w:tcW w:w="1275" w:type="dxa"/>
            <w:shd w:val="clear" w:color="auto" w:fill="auto"/>
            <w:tcMar>
              <w:top w:w="100" w:type="dxa"/>
              <w:left w:w="100" w:type="dxa"/>
              <w:bottom w:w="100" w:type="dxa"/>
              <w:right w:w="100" w:type="dxa"/>
            </w:tcMar>
          </w:tcPr>
          <w:p w14:paraId="5EA18C0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General reward type features, storytelling device features, general socialization features.</w:t>
            </w:r>
          </w:p>
        </w:tc>
        <w:tc>
          <w:tcPr>
            <w:tcW w:w="4620" w:type="dxa"/>
            <w:shd w:val="clear" w:color="auto" w:fill="auto"/>
            <w:tcMar>
              <w:top w:w="100" w:type="dxa"/>
              <w:left w:w="100" w:type="dxa"/>
              <w:bottom w:w="100" w:type="dxa"/>
              <w:right w:w="100" w:type="dxa"/>
            </w:tcMar>
          </w:tcPr>
          <w:p w14:paraId="7685F0FC"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 xml:space="preserve">Social, immersion, achievement, story/narrative showed a positive relationship with loss of perceived time (flow). Generally, people regarded the perceived loss of time as a positive experience. </w:t>
            </w:r>
          </w:p>
        </w:tc>
      </w:tr>
      <w:tr w:rsidR="00B862B4" w14:paraId="6987C466" w14:textId="77777777" w:rsidTr="003055DF">
        <w:trPr>
          <w:trHeight w:val="1500"/>
        </w:trPr>
        <w:tc>
          <w:tcPr>
            <w:tcW w:w="1065" w:type="dxa"/>
            <w:tcBorders>
              <w:top w:val="nil"/>
              <w:left w:val="nil"/>
              <w:bottom w:val="single" w:sz="8" w:space="0" w:color="0E101A"/>
              <w:right w:val="nil"/>
            </w:tcBorders>
            <w:tcMar>
              <w:top w:w="40" w:type="dxa"/>
              <w:left w:w="40" w:type="dxa"/>
              <w:bottom w:w="40" w:type="dxa"/>
              <w:right w:w="40" w:type="dxa"/>
            </w:tcMar>
          </w:tcPr>
          <w:p w14:paraId="058FCDD1" w14:textId="77777777" w:rsidR="00B862B4" w:rsidRDefault="00B862B4" w:rsidP="003055DF">
            <w:pPr>
              <w:widowControl w:val="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Yang &amp; </w:t>
            </w:r>
            <w:proofErr w:type="spellStart"/>
            <w:r>
              <w:rPr>
                <w:rFonts w:ascii="Times New Roman" w:eastAsia="Times New Roman" w:hAnsi="Times New Roman" w:cs="Times New Roman"/>
                <w:sz w:val="16"/>
                <w:szCs w:val="16"/>
              </w:rPr>
              <w:t>Quadir</w:t>
            </w:r>
            <w:proofErr w:type="spellEnd"/>
            <w:r>
              <w:rPr>
                <w:rFonts w:ascii="Times New Roman" w:eastAsia="Times New Roman" w:hAnsi="Times New Roman" w:cs="Times New Roman"/>
                <w:sz w:val="16"/>
                <w:szCs w:val="16"/>
              </w:rPr>
              <w:t xml:space="preserve"> (2018)</w:t>
            </w:r>
          </w:p>
        </w:tc>
        <w:tc>
          <w:tcPr>
            <w:tcW w:w="1185" w:type="dxa"/>
            <w:tcBorders>
              <w:bottom w:val="single" w:sz="8" w:space="0" w:color="0E101A"/>
            </w:tcBorders>
            <w:shd w:val="clear" w:color="auto" w:fill="auto"/>
            <w:tcMar>
              <w:top w:w="100" w:type="dxa"/>
              <w:left w:w="100" w:type="dxa"/>
              <w:bottom w:w="100" w:type="dxa"/>
              <w:right w:w="100" w:type="dxa"/>
            </w:tcMar>
          </w:tcPr>
          <w:p w14:paraId="78D775A2"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Mixed</w:t>
            </w:r>
          </w:p>
        </w:tc>
        <w:tc>
          <w:tcPr>
            <w:tcW w:w="3060" w:type="dxa"/>
            <w:tcBorders>
              <w:bottom w:val="single" w:sz="8" w:space="0" w:color="0E101A"/>
            </w:tcBorders>
            <w:shd w:val="clear" w:color="auto" w:fill="auto"/>
            <w:tcMar>
              <w:top w:w="100" w:type="dxa"/>
              <w:left w:w="100" w:type="dxa"/>
              <w:bottom w:w="100" w:type="dxa"/>
              <w:right w:w="100" w:type="dxa"/>
            </w:tcMar>
          </w:tcPr>
          <w:p w14:paraId="7CC8B638"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421 video game players, including 367 males (87.2%) and 53 females (12.6%) with 3 individuals whose gender was not specified (0.2%). The video game players were aged 14–57 years (</w:t>
            </w:r>
            <w:r>
              <w:rPr>
                <w:rFonts w:ascii="Times New Roman" w:eastAsia="Times New Roman" w:hAnsi="Times New Roman" w:cs="Times New Roman"/>
                <w:i/>
                <w:sz w:val="16"/>
                <w:szCs w:val="16"/>
                <w:highlight w:val="white"/>
              </w:rPr>
              <w:t>M</w:t>
            </w:r>
            <w:r>
              <w:rPr>
                <w:rFonts w:ascii="Times New Roman" w:eastAsia="Times New Roman" w:hAnsi="Times New Roman" w:cs="Times New Roman"/>
                <w:sz w:val="16"/>
                <w:szCs w:val="16"/>
                <w:highlight w:val="white"/>
              </w:rPr>
              <w:t xml:space="preserve">=22.8 years, </w:t>
            </w:r>
            <w:r>
              <w:rPr>
                <w:rFonts w:ascii="Times New Roman" w:eastAsia="Times New Roman" w:hAnsi="Times New Roman" w:cs="Times New Roman"/>
                <w:i/>
                <w:sz w:val="16"/>
                <w:szCs w:val="16"/>
                <w:highlight w:val="white"/>
              </w:rPr>
              <w:t>SD</w:t>
            </w:r>
            <w:r>
              <w:rPr>
                <w:rFonts w:ascii="Times New Roman" w:eastAsia="Times New Roman" w:hAnsi="Times New Roman" w:cs="Times New Roman"/>
                <w:sz w:val="16"/>
                <w:szCs w:val="16"/>
                <w:highlight w:val="white"/>
              </w:rPr>
              <w:t xml:space="preserve">=5.6 years). </w:t>
            </w:r>
          </w:p>
        </w:tc>
        <w:tc>
          <w:tcPr>
            <w:tcW w:w="1110" w:type="dxa"/>
            <w:tcBorders>
              <w:bottom w:val="single" w:sz="8" w:space="0" w:color="0E101A"/>
            </w:tcBorders>
            <w:shd w:val="clear" w:color="auto" w:fill="auto"/>
            <w:tcMar>
              <w:top w:w="100" w:type="dxa"/>
              <w:left w:w="100" w:type="dxa"/>
              <w:bottom w:w="100" w:type="dxa"/>
              <w:right w:w="100" w:type="dxa"/>
            </w:tcMar>
          </w:tcPr>
          <w:p w14:paraId="3B03719D"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Motivation, Flow.</w:t>
            </w:r>
          </w:p>
        </w:tc>
        <w:tc>
          <w:tcPr>
            <w:tcW w:w="1275" w:type="dxa"/>
            <w:tcBorders>
              <w:bottom w:val="single" w:sz="8" w:space="0" w:color="0E101A"/>
            </w:tcBorders>
            <w:shd w:val="clear" w:color="auto" w:fill="auto"/>
            <w:tcMar>
              <w:top w:w="100" w:type="dxa"/>
              <w:left w:w="100" w:type="dxa"/>
              <w:bottom w:w="100" w:type="dxa"/>
              <w:right w:w="100" w:type="dxa"/>
            </w:tcMar>
          </w:tcPr>
          <w:p w14:paraId="0E2A63D6"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General reward type features</w:t>
            </w:r>
          </w:p>
        </w:tc>
        <w:tc>
          <w:tcPr>
            <w:tcW w:w="4620" w:type="dxa"/>
            <w:tcBorders>
              <w:bottom w:val="single" w:sz="8" w:space="0" w:color="0E101A"/>
            </w:tcBorders>
            <w:shd w:val="clear" w:color="auto" w:fill="auto"/>
            <w:tcMar>
              <w:top w:w="100" w:type="dxa"/>
              <w:left w:w="100" w:type="dxa"/>
              <w:bottom w:w="100" w:type="dxa"/>
              <w:right w:w="100" w:type="dxa"/>
            </w:tcMar>
          </w:tcPr>
          <w:p w14:paraId="0B44CD61" w14:textId="77777777" w:rsidR="00B862B4" w:rsidRDefault="00B862B4" w:rsidP="003055DF">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7"/>
                <w:szCs w:val="17"/>
                <w:highlight w:val="white"/>
              </w:rPr>
              <w:t xml:space="preserve">In the interview findings, students mentioned that the rewards in the game enhanced their motivation. Gaming flow experience was a significant predictor of learning motivation, where the students with high gaming flow experience were six times more likely to have high learning motivation. Female students demonstrated significantly higher gaming flow experience than the male students. Further gender differences in motivation are discussed. </w:t>
            </w:r>
          </w:p>
        </w:tc>
      </w:tr>
    </w:tbl>
    <w:p w14:paraId="188665CF" w14:textId="77777777" w:rsidR="00B862B4" w:rsidRDefault="00B862B4" w:rsidP="00B862B4">
      <w:pPr>
        <w:spacing w:line="360" w:lineRule="auto"/>
        <w:rPr>
          <w:rFonts w:ascii="Times New Roman" w:eastAsia="Times New Roman" w:hAnsi="Times New Roman" w:cs="Times New Roman"/>
          <w:b/>
          <w:sz w:val="24"/>
          <w:szCs w:val="24"/>
        </w:rPr>
        <w:sectPr w:rsidR="00B862B4">
          <w:headerReference w:type="even" r:id="rId9"/>
          <w:headerReference w:type="default" r:id="rId10"/>
          <w:pgSz w:w="15840" w:h="12240" w:orient="landscape"/>
          <w:pgMar w:top="1440" w:right="1440" w:bottom="1440" w:left="1440" w:header="720" w:footer="720" w:gutter="0"/>
          <w:cols w:space="720"/>
        </w:sectPr>
      </w:pPr>
      <w:r>
        <w:rPr>
          <w:rFonts w:ascii="Times New Roman" w:eastAsia="Times New Roman" w:hAnsi="Times New Roman" w:cs="Times New Roman"/>
          <w:sz w:val="24"/>
          <w:szCs w:val="24"/>
          <w:highlight w:val="white"/>
        </w:rPr>
        <w:t>* Results may have been copied from the body of the original publication.</w:t>
      </w:r>
    </w:p>
    <w:p w14:paraId="76FC6720" w14:textId="77777777" w:rsidR="00B862B4" w:rsidRDefault="00B862B4" w:rsidP="00B862B4">
      <w:pPr>
        <w:rPr>
          <w:rFonts w:ascii="Times New Roman" w:eastAsia="Times New Roman" w:hAnsi="Times New Roman" w:cs="Times New Roman"/>
          <w:i/>
          <w:sz w:val="24"/>
          <w:szCs w:val="24"/>
        </w:rPr>
      </w:pPr>
    </w:p>
    <w:p w14:paraId="3E596717" w14:textId="27DD239F" w:rsidR="00F818C8" w:rsidRDefault="00F818C8" w:rsidP="00B862B4">
      <w:pPr>
        <w:rPr>
          <w:rFonts w:ascii="Times New Roman" w:eastAsia="Times New Roman" w:hAnsi="Times New Roman" w:cs="Times New Roman"/>
          <w:b/>
          <w:sz w:val="24"/>
          <w:szCs w:val="24"/>
        </w:rPr>
      </w:pPr>
      <w:bookmarkStart w:id="2" w:name="_Hlk133923681"/>
      <w:r>
        <w:rPr>
          <w:rFonts w:ascii="Times New Roman" w:eastAsia="Times New Roman" w:hAnsi="Times New Roman" w:cs="Times New Roman"/>
          <w:b/>
          <w:sz w:val="24"/>
          <w:szCs w:val="24"/>
        </w:rPr>
        <w:t>Supplementary material B</w:t>
      </w:r>
    </w:p>
    <w:bookmarkEnd w:id="2"/>
    <w:p w14:paraId="4C0D27EB" w14:textId="69AC4966" w:rsidR="00B862B4" w:rsidRDefault="00B862B4" w:rsidP="00B862B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Search Strategy </w:t>
      </w:r>
    </w:p>
    <w:p w14:paraId="2FC12E6D" w14:textId="77777777" w:rsidR="00B862B4" w:rsidRDefault="00B862B4" w:rsidP="00B862B4">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Medline Search, </w:t>
      </w:r>
      <w:proofErr w:type="spellStart"/>
      <w:r>
        <w:rPr>
          <w:rFonts w:ascii="Times New Roman" w:eastAsia="Times New Roman" w:hAnsi="Times New Roman" w:cs="Times New Roman"/>
          <w:b/>
          <w:sz w:val="24"/>
          <w:szCs w:val="24"/>
          <w:highlight w:val="white"/>
        </w:rPr>
        <w:t>PsycInfo</w:t>
      </w:r>
      <w:proofErr w:type="spellEnd"/>
      <w:r>
        <w:rPr>
          <w:rFonts w:ascii="Times New Roman" w:eastAsia="Times New Roman" w:hAnsi="Times New Roman" w:cs="Times New Roman"/>
          <w:b/>
          <w:sz w:val="24"/>
          <w:szCs w:val="24"/>
          <w:highlight w:val="white"/>
        </w:rPr>
        <w:t>, Embase Search String:</w:t>
      </w:r>
    </w:p>
    <w:tbl>
      <w:tblPr>
        <w:tblW w:w="8100" w:type="dxa"/>
        <w:tblInd w:w="-1440" w:type="dxa"/>
        <w:tblBorders>
          <w:top w:val="nil"/>
          <w:left w:val="nil"/>
          <w:bottom w:val="nil"/>
          <w:right w:val="nil"/>
          <w:insideH w:val="nil"/>
          <w:insideV w:val="nil"/>
        </w:tblBorders>
        <w:tblLayout w:type="fixed"/>
        <w:tblLook w:val="0600" w:firstRow="0" w:lastRow="0" w:firstColumn="0" w:lastColumn="0" w:noHBand="1" w:noVBand="1"/>
      </w:tblPr>
      <w:tblGrid>
        <w:gridCol w:w="8100"/>
      </w:tblGrid>
      <w:tr w:rsidR="00B862B4" w14:paraId="35AE9564" w14:textId="77777777" w:rsidTr="003055DF">
        <w:trPr>
          <w:trHeight w:val="540"/>
        </w:trPr>
        <w:tc>
          <w:tcPr>
            <w:tcW w:w="8100" w:type="dxa"/>
            <w:tcBorders>
              <w:top w:val="nil"/>
              <w:left w:val="nil"/>
              <w:bottom w:val="nil"/>
              <w:right w:val="nil"/>
            </w:tcBorders>
            <w:tcMar>
              <w:top w:w="0" w:type="dxa"/>
              <w:left w:w="0" w:type="dxa"/>
              <w:bottom w:w="0" w:type="dxa"/>
              <w:right w:w="0" w:type="dxa"/>
            </w:tcMar>
            <w:vAlign w:val="center"/>
          </w:tcPr>
          <w:p w14:paraId="211ECD16"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Internet Gaming Disorder</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A7564E3"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5A5F35A"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Gaming Disorder</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2FC1AD1A"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4AC4437"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Internet Gaming Addict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7600795"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341A7DFC"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 Problem* Video </w:t>
            </w:r>
            <w:proofErr w:type="spellStart"/>
            <w:proofErr w:type="gramStart"/>
            <w:r>
              <w:rPr>
                <w:rFonts w:ascii="Times New Roman" w:eastAsia="Times New Roman" w:hAnsi="Times New Roman" w:cs="Times New Roman"/>
                <w:sz w:val="24"/>
                <w:szCs w:val="24"/>
                <w:highlight w:val="white"/>
              </w:rPr>
              <w:t>Gaming.ti,ab</w:t>
            </w:r>
            <w:proofErr w:type="spellEnd"/>
            <w:r>
              <w:rPr>
                <w:rFonts w:ascii="Times New Roman" w:eastAsia="Times New Roman" w:hAnsi="Times New Roman" w:cs="Times New Roman"/>
                <w:sz w:val="24"/>
                <w:szCs w:val="24"/>
                <w:highlight w:val="white"/>
              </w:rPr>
              <w:t>.</w:t>
            </w:r>
            <w:proofErr w:type="gramEnd"/>
          </w:p>
        </w:tc>
      </w:tr>
      <w:tr w:rsidR="00B862B4" w14:paraId="0C344602"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3A0FD391"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 Video Gaming Addict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4C5A435"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C6E7685"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 Gaming Addict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D60C91F"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D396190"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 problem* </w:t>
            </w:r>
            <w:proofErr w:type="spellStart"/>
            <w:proofErr w:type="gramStart"/>
            <w:r>
              <w:rPr>
                <w:rFonts w:ascii="Times New Roman" w:eastAsia="Times New Roman" w:hAnsi="Times New Roman" w:cs="Times New Roman"/>
                <w:sz w:val="24"/>
                <w:szCs w:val="24"/>
                <w:highlight w:val="white"/>
              </w:rPr>
              <w:t>gaming.ti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8380DA2"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5109530"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 compulsive </w:t>
            </w:r>
            <w:proofErr w:type="spellStart"/>
            <w:proofErr w:type="gramStart"/>
            <w:r>
              <w:rPr>
                <w:rFonts w:ascii="Times New Roman" w:eastAsia="Times New Roman" w:hAnsi="Times New Roman" w:cs="Times New Roman"/>
                <w:sz w:val="24"/>
                <w:szCs w:val="24"/>
                <w:highlight w:val="white"/>
              </w:rPr>
              <w:t>gaming.ti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0198E57"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96FC65C"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9. addict* </w:t>
            </w:r>
            <w:proofErr w:type="spellStart"/>
            <w:proofErr w:type="gramStart"/>
            <w:r>
              <w:rPr>
                <w:rFonts w:ascii="Times New Roman" w:eastAsia="Times New Roman" w:hAnsi="Times New Roman" w:cs="Times New Roman"/>
                <w:sz w:val="24"/>
                <w:szCs w:val="24"/>
                <w:highlight w:val="white"/>
              </w:rPr>
              <w:t>gaming.ti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5D68EFBE"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F766E0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 gaming depend</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E050C02"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DC23201"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11. video gaming </w:t>
            </w:r>
            <w:proofErr w:type="spellStart"/>
            <w:proofErr w:type="gramStart"/>
            <w:r>
              <w:rPr>
                <w:rFonts w:ascii="Times New Roman" w:eastAsia="Times New Roman" w:hAnsi="Times New Roman" w:cs="Times New Roman"/>
                <w:sz w:val="24"/>
                <w:szCs w:val="24"/>
                <w:highlight w:val="white"/>
              </w:rPr>
              <w:t>disorder.ti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FFE61C4"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2AA72A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12. problem* video </w:t>
            </w:r>
            <w:proofErr w:type="spellStart"/>
            <w:proofErr w:type="gramStart"/>
            <w:r>
              <w:rPr>
                <w:rFonts w:ascii="Times New Roman" w:eastAsia="Times New Roman" w:hAnsi="Times New Roman" w:cs="Times New Roman"/>
                <w:sz w:val="24"/>
                <w:szCs w:val="24"/>
                <w:highlight w:val="white"/>
              </w:rPr>
              <w:t>gaming.ti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27D3A573"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CF96CE7"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13. </w:t>
            </w:r>
            <w:proofErr w:type="spellStart"/>
            <w:r>
              <w:rPr>
                <w:rFonts w:ascii="Times New Roman" w:eastAsia="Times New Roman" w:hAnsi="Times New Roman" w:cs="Times New Roman"/>
                <w:sz w:val="24"/>
                <w:szCs w:val="24"/>
                <w:highlight w:val="white"/>
              </w:rPr>
              <w:t>compuls</w:t>
            </w:r>
            <w:proofErr w:type="spellEnd"/>
            <w:r>
              <w:rPr>
                <w:rFonts w:ascii="Times New Roman" w:eastAsia="Times New Roman" w:hAnsi="Times New Roman" w:cs="Times New Roman"/>
                <w:sz w:val="24"/>
                <w:szCs w:val="24"/>
                <w:highlight w:val="white"/>
              </w:rPr>
              <w:t xml:space="preserve">* video </w:t>
            </w:r>
            <w:proofErr w:type="spellStart"/>
            <w:proofErr w:type="gramStart"/>
            <w:r>
              <w:rPr>
                <w:rFonts w:ascii="Times New Roman" w:eastAsia="Times New Roman" w:hAnsi="Times New Roman" w:cs="Times New Roman"/>
                <w:sz w:val="24"/>
                <w:szCs w:val="24"/>
                <w:highlight w:val="white"/>
              </w:rPr>
              <w:t>gaming.ti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7F7E915"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D7EE3D9"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14. addict* video </w:t>
            </w:r>
            <w:proofErr w:type="spellStart"/>
            <w:proofErr w:type="gramStart"/>
            <w:r>
              <w:rPr>
                <w:rFonts w:ascii="Times New Roman" w:eastAsia="Times New Roman" w:hAnsi="Times New Roman" w:cs="Times New Roman"/>
                <w:sz w:val="24"/>
                <w:szCs w:val="24"/>
                <w:highlight w:val="white"/>
              </w:rPr>
              <w:t>gaming.ti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8C22E57"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CB577CF"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15. internet </w:t>
            </w:r>
            <w:proofErr w:type="spellStart"/>
            <w:proofErr w:type="gramStart"/>
            <w:r>
              <w:rPr>
                <w:rFonts w:ascii="Times New Roman" w:eastAsia="Times New Roman" w:hAnsi="Times New Roman" w:cs="Times New Roman"/>
                <w:sz w:val="24"/>
                <w:szCs w:val="24"/>
                <w:highlight w:val="white"/>
              </w:rPr>
              <w:t>gaming.ti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F747918"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C78C041"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16. addict* internet </w:t>
            </w:r>
            <w:proofErr w:type="spellStart"/>
            <w:proofErr w:type="gramStart"/>
            <w:r>
              <w:rPr>
                <w:rFonts w:ascii="Times New Roman" w:eastAsia="Times New Roman" w:hAnsi="Times New Roman" w:cs="Times New Roman"/>
                <w:sz w:val="24"/>
                <w:szCs w:val="24"/>
                <w:highlight w:val="white"/>
              </w:rPr>
              <w:t>gaming.ti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9C993DB"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25674B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 online gaming addict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61EDCE5"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53A3C0F"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18. online video gaming addict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18C5E239"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90D280A"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 video game addict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5B00CC9"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A846F55"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 video game depend</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D845B0A" w14:textId="77777777" w:rsidTr="003055DF">
        <w:trPr>
          <w:trHeight w:val="420"/>
        </w:trPr>
        <w:tc>
          <w:tcPr>
            <w:tcW w:w="8100" w:type="dxa"/>
            <w:tcBorders>
              <w:top w:val="nil"/>
              <w:left w:val="nil"/>
              <w:bottom w:val="nil"/>
              <w:right w:val="nil"/>
            </w:tcBorders>
            <w:tcMar>
              <w:top w:w="0" w:type="dxa"/>
              <w:left w:w="0" w:type="dxa"/>
              <w:bottom w:w="0" w:type="dxa"/>
              <w:right w:w="0" w:type="dxa"/>
            </w:tcMar>
            <w:vAlign w:val="center"/>
          </w:tcPr>
          <w:p w14:paraId="0DE74D12"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 1 or 2 or 3 or 4 or 5 or 6 or 7 or 8 or 9 or 10 or 11 or 12 or 13 or 14 or 15 or 16 or 17 or 18 or 19 or 20</w:t>
            </w:r>
          </w:p>
        </w:tc>
      </w:tr>
      <w:tr w:rsidR="00B862B4" w14:paraId="40512EE2"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9A594FA"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22. </w:t>
            </w:r>
            <w:proofErr w:type="spellStart"/>
            <w:r>
              <w:rPr>
                <w:rFonts w:ascii="Times New Roman" w:eastAsia="Times New Roman" w:hAnsi="Times New Roman" w:cs="Times New Roman"/>
                <w:sz w:val="24"/>
                <w:szCs w:val="24"/>
                <w:highlight w:val="white"/>
              </w:rPr>
              <w:t>Structur</w:t>
            </w:r>
            <w:proofErr w:type="spellEnd"/>
            <w:r>
              <w:rPr>
                <w:rFonts w:ascii="Times New Roman" w:eastAsia="Times New Roman" w:hAnsi="Times New Roman" w:cs="Times New Roman"/>
                <w:sz w:val="24"/>
                <w:szCs w:val="24"/>
                <w:highlight w:val="white"/>
              </w:rPr>
              <w:t>* Character</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2D1A504C"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5807BC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23. </w:t>
            </w:r>
            <w:proofErr w:type="spellStart"/>
            <w:r>
              <w:rPr>
                <w:rFonts w:ascii="Times New Roman" w:eastAsia="Times New Roman" w:hAnsi="Times New Roman" w:cs="Times New Roman"/>
                <w:sz w:val="24"/>
                <w:szCs w:val="24"/>
                <w:highlight w:val="white"/>
              </w:rPr>
              <w:t>Featur</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135C9ED2"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58751D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24. </w:t>
            </w:r>
            <w:proofErr w:type="spellStart"/>
            <w:r>
              <w:rPr>
                <w:rFonts w:ascii="Times New Roman" w:eastAsia="Times New Roman" w:hAnsi="Times New Roman" w:cs="Times New Roman"/>
                <w:sz w:val="24"/>
                <w:szCs w:val="24"/>
                <w:highlight w:val="white"/>
              </w:rPr>
              <w:t>Structur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Featur</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2B312D0"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345AAB7"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25. Addict* character</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F3A87F4"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AE5715B"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26. Design* </w:t>
            </w:r>
            <w:proofErr w:type="spellStart"/>
            <w:r>
              <w:rPr>
                <w:rFonts w:ascii="Times New Roman" w:eastAsia="Times New Roman" w:hAnsi="Times New Roman" w:cs="Times New Roman"/>
                <w:sz w:val="24"/>
                <w:szCs w:val="24"/>
                <w:highlight w:val="white"/>
              </w:rPr>
              <w:t>featur</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37F5799"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37E6898"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27. </w:t>
            </w:r>
            <w:proofErr w:type="spellStart"/>
            <w:r>
              <w:rPr>
                <w:rFonts w:ascii="Times New Roman" w:eastAsia="Times New Roman" w:hAnsi="Times New Roman" w:cs="Times New Roman"/>
                <w:sz w:val="24"/>
                <w:szCs w:val="24"/>
                <w:highlight w:val="white"/>
              </w:rPr>
              <w:t>structur</w:t>
            </w:r>
            <w:proofErr w:type="spellEnd"/>
            <w:r>
              <w:rPr>
                <w:rFonts w:ascii="Times New Roman" w:eastAsia="Times New Roman" w:hAnsi="Times New Roman" w:cs="Times New Roman"/>
                <w:sz w:val="24"/>
                <w:szCs w:val="24"/>
                <w:highlight w:val="white"/>
              </w:rPr>
              <w:t>* design</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5488BC20"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7507441"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28. </w:t>
            </w:r>
            <w:proofErr w:type="spellStart"/>
            <w:r>
              <w:rPr>
                <w:rFonts w:ascii="Times New Roman" w:eastAsia="Times New Roman" w:hAnsi="Times New Roman" w:cs="Times New Roman"/>
                <w:sz w:val="24"/>
                <w:szCs w:val="24"/>
                <w:highlight w:val="white"/>
              </w:rPr>
              <w:t>structur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mechan</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279A17F8"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CA601A7"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29. Addict* </w:t>
            </w:r>
            <w:proofErr w:type="spellStart"/>
            <w:r>
              <w:rPr>
                <w:rFonts w:ascii="Times New Roman" w:eastAsia="Times New Roman" w:hAnsi="Times New Roman" w:cs="Times New Roman"/>
                <w:sz w:val="24"/>
                <w:szCs w:val="24"/>
                <w:highlight w:val="white"/>
              </w:rPr>
              <w:t>Mechan</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B8896B8"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D9656B0"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30. Psych* </w:t>
            </w:r>
            <w:proofErr w:type="spellStart"/>
            <w:r>
              <w:rPr>
                <w:rFonts w:ascii="Times New Roman" w:eastAsia="Times New Roman" w:hAnsi="Times New Roman" w:cs="Times New Roman"/>
                <w:sz w:val="24"/>
                <w:szCs w:val="24"/>
                <w:highlight w:val="white"/>
              </w:rPr>
              <w:t>Mechan</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2C7A580A"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20B098D"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 Psych* Character</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713E651"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C904E2C"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32. </w:t>
            </w:r>
            <w:proofErr w:type="spellStart"/>
            <w:proofErr w:type="gramStart"/>
            <w:r>
              <w:rPr>
                <w:rFonts w:ascii="Times New Roman" w:eastAsia="Times New Roman" w:hAnsi="Times New Roman" w:cs="Times New Roman"/>
                <w:sz w:val="24"/>
                <w:szCs w:val="24"/>
                <w:highlight w:val="white"/>
              </w:rPr>
              <w:t>Humo?r</w:t>
            </w:r>
            <w:proofErr w:type="spellEnd"/>
            <w:proofErr w:type="gramEnd"/>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ti,ab</w:t>
            </w:r>
            <w:proofErr w:type="spellEnd"/>
            <w:r>
              <w:rPr>
                <w:rFonts w:ascii="Times New Roman" w:eastAsia="Times New Roman" w:hAnsi="Times New Roman" w:cs="Times New Roman"/>
                <w:sz w:val="24"/>
                <w:szCs w:val="24"/>
                <w:highlight w:val="white"/>
              </w:rPr>
              <w:t>.</w:t>
            </w:r>
          </w:p>
        </w:tc>
      </w:tr>
      <w:tr w:rsidR="00B862B4" w14:paraId="764851DB"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177A6D6"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33. </w:t>
            </w:r>
            <w:proofErr w:type="spellStart"/>
            <w:proofErr w:type="gramStart"/>
            <w:r>
              <w:rPr>
                <w:rFonts w:ascii="Times New Roman" w:eastAsia="Times New Roman" w:hAnsi="Times New Roman" w:cs="Times New Roman"/>
                <w:sz w:val="24"/>
                <w:szCs w:val="24"/>
                <w:highlight w:val="white"/>
              </w:rPr>
              <w:t>Sound.ti,ab</w:t>
            </w:r>
            <w:proofErr w:type="spellEnd"/>
            <w:r>
              <w:rPr>
                <w:rFonts w:ascii="Times New Roman" w:eastAsia="Times New Roman" w:hAnsi="Times New Roman" w:cs="Times New Roman"/>
                <w:sz w:val="24"/>
                <w:szCs w:val="24"/>
                <w:highlight w:val="white"/>
              </w:rPr>
              <w:t>.</w:t>
            </w:r>
            <w:proofErr w:type="gramEnd"/>
          </w:p>
        </w:tc>
      </w:tr>
      <w:tr w:rsidR="00B862B4" w14:paraId="7755C895"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F7930E6"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34. Graphic</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5B3ABD3"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30FD04F3"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35. Skill* Setting</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E246C83"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8D3BDC9"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36. Control Meth</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7648C76"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663A2AD"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37. Physic* </w:t>
            </w:r>
            <w:proofErr w:type="spellStart"/>
            <w:proofErr w:type="gramStart"/>
            <w:r>
              <w:rPr>
                <w:rFonts w:ascii="Times New Roman" w:eastAsia="Times New Roman" w:hAnsi="Times New Roman" w:cs="Times New Roman"/>
                <w:sz w:val="24"/>
                <w:szCs w:val="24"/>
                <w:highlight w:val="white"/>
              </w:rPr>
              <w:t>Feedback.ti,ab</w:t>
            </w:r>
            <w:proofErr w:type="spellEnd"/>
            <w:r>
              <w:rPr>
                <w:rFonts w:ascii="Times New Roman" w:eastAsia="Times New Roman" w:hAnsi="Times New Roman" w:cs="Times New Roman"/>
                <w:sz w:val="24"/>
                <w:szCs w:val="24"/>
                <w:highlight w:val="white"/>
              </w:rPr>
              <w:t>.</w:t>
            </w:r>
            <w:proofErr w:type="gramEnd"/>
          </w:p>
        </w:tc>
      </w:tr>
      <w:tr w:rsidR="00B862B4" w14:paraId="7384F894"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376D3487"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38. </w:t>
            </w:r>
            <w:proofErr w:type="spellStart"/>
            <w:r>
              <w:rPr>
                <w:rFonts w:ascii="Times New Roman" w:eastAsia="Times New Roman" w:hAnsi="Times New Roman" w:cs="Times New Roman"/>
                <w:sz w:val="24"/>
                <w:szCs w:val="24"/>
                <w:highlight w:val="white"/>
              </w:rPr>
              <w:t>Surpris</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167F28E9"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F41484A"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39. Shoot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F4FE382"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75126F2"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40. </w:t>
            </w:r>
            <w:proofErr w:type="spellStart"/>
            <w:r>
              <w:rPr>
                <w:rFonts w:ascii="Times New Roman" w:eastAsia="Times New Roman" w:hAnsi="Times New Roman" w:cs="Times New Roman"/>
                <w:sz w:val="24"/>
                <w:szCs w:val="24"/>
                <w:highlight w:val="white"/>
              </w:rPr>
              <w:t>violen</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45FA471"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6D7EB02"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 skill</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FF1E3AD"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4342810"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 Custom</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5E884D1A"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3DB832F9"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43. Sav* Feat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B67230B"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E02C5B3"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44. Brand</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ABAF151"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EB82D9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45. Market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5F57D4C9"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0C8B86B"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46. Celeb</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A135598"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78AFCDC"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47. </w:t>
            </w:r>
            <w:proofErr w:type="spellStart"/>
            <w:r>
              <w:rPr>
                <w:rFonts w:ascii="Times New Roman" w:eastAsia="Times New Roman" w:hAnsi="Times New Roman" w:cs="Times New Roman"/>
                <w:sz w:val="24"/>
                <w:szCs w:val="24"/>
                <w:highlight w:val="white"/>
              </w:rPr>
              <w:t>Multiplay</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AC40BE7"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2C7819C"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48. </w:t>
            </w:r>
            <w:proofErr w:type="spellStart"/>
            <w:r>
              <w:rPr>
                <w:rFonts w:ascii="Times New Roman" w:eastAsia="Times New Roman" w:hAnsi="Times New Roman" w:cs="Times New Roman"/>
                <w:sz w:val="24"/>
                <w:szCs w:val="24"/>
                <w:highlight w:val="white"/>
              </w:rPr>
              <w:t>Compet</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4419CAD"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E09424F"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49. Graphic</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65ECF74"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42479BB"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 Music</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21926C1A"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3E496AC9"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 </w:t>
            </w:r>
            <w:proofErr w:type="spellStart"/>
            <w:proofErr w:type="gramStart"/>
            <w:r>
              <w:rPr>
                <w:rFonts w:ascii="Times New Roman" w:eastAsia="Times New Roman" w:hAnsi="Times New Roman" w:cs="Times New Roman"/>
                <w:sz w:val="24"/>
                <w:szCs w:val="24"/>
                <w:highlight w:val="white"/>
              </w:rPr>
              <w:t>Duration.ti,ab</w:t>
            </w:r>
            <w:proofErr w:type="spellEnd"/>
            <w:r>
              <w:rPr>
                <w:rFonts w:ascii="Times New Roman" w:eastAsia="Times New Roman" w:hAnsi="Times New Roman" w:cs="Times New Roman"/>
                <w:sz w:val="24"/>
                <w:szCs w:val="24"/>
                <w:highlight w:val="white"/>
              </w:rPr>
              <w:t>.</w:t>
            </w:r>
            <w:proofErr w:type="gramEnd"/>
          </w:p>
        </w:tc>
      </w:tr>
      <w:tr w:rsidR="00B862B4" w14:paraId="707FF325"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949D513"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52. mission</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81364B1"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79FC9F3"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 cut* scene</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52913310"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B0AA60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54. loot box</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7BFFA2F"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760CDB2"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55. </w:t>
            </w:r>
            <w:proofErr w:type="spellStart"/>
            <w:r>
              <w:rPr>
                <w:rFonts w:ascii="Times New Roman" w:eastAsia="Times New Roman" w:hAnsi="Times New Roman" w:cs="Times New Roman"/>
                <w:sz w:val="24"/>
                <w:szCs w:val="24"/>
                <w:highlight w:val="white"/>
              </w:rPr>
              <w:t>gambl</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BEE07EB"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AEDB2B8"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56. Social</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5E512E3"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5B2C2B8"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57. Network</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2B8CAA4"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0128D05"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58. avatar</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861B87B"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642B68B"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59. choice</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5D31F9A8"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7EF2A2D"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60. point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56406A3"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1437ECA"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61. reward</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2B216DE"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95F93B4"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 event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FF397CF"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523F827"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63. load* screen</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1089BFC"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F13AE0A"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64. Health</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FAF9B9F"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254F109"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 item</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097B51D"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EF1E2D4"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66.</w:t>
            </w:r>
            <w:proofErr w:type="gramStart"/>
            <w:r>
              <w:rPr>
                <w:rFonts w:ascii="Times New Roman" w:eastAsia="Times New Roman" w:hAnsi="Times New Roman" w:cs="Times New Roman"/>
                <w:sz w:val="24"/>
                <w:szCs w:val="24"/>
                <w:highlight w:val="white"/>
              </w:rPr>
              <w:t>micro?transaction</w:t>
            </w:r>
            <w:proofErr w:type="gramEnd"/>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ti,ab</w:t>
            </w:r>
            <w:proofErr w:type="spellEnd"/>
            <w:r>
              <w:rPr>
                <w:rFonts w:ascii="Times New Roman" w:eastAsia="Times New Roman" w:hAnsi="Times New Roman" w:cs="Times New Roman"/>
                <w:sz w:val="24"/>
                <w:szCs w:val="24"/>
                <w:highlight w:val="white"/>
              </w:rPr>
              <w:t>.</w:t>
            </w:r>
          </w:p>
        </w:tc>
      </w:tr>
      <w:tr w:rsidR="00B862B4" w14:paraId="7912B14A"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70BC1B2"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67. MMORPG</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EC01254"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D285134"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68. Genre</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B71D6F9"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98C0392"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69. </w:t>
            </w:r>
            <w:proofErr w:type="spellStart"/>
            <w:r>
              <w:rPr>
                <w:rFonts w:ascii="Times New Roman" w:eastAsia="Times New Roman" w:hAnsi="Times New Roman" w:cs="Times New Roman"/>
                <w:sz w:val="24"/>
                <w:szCs w:val="24"/>
                <w:highlight w:val="white"/>
              </w:rPr>
              <w:t>Franchis</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0B89441"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950ED9F"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70. Explicit* Content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7983744"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41C2A86"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71. Drug</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AD8DCAC"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58CEFCF"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72. </w:t>
            </w:r>
            <w:proofErr w:type="spellStart"/>
            <w:r>
              <w:rPr>
                <w:rFonts w:ascii="Times New Roman" w:eastAsia="Times New Roman" w:hAnsi="Times New Roman" w:cs="Times New Roman"/>
                <w:sz w:val="24"/>
                <w:szCs w:val="24"/>
                <w:highlight w:val="white"/>
              </w:rPr>
              <w:t>Nud</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27611484"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C9691B8"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73. Skin</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4C9E5FD2"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25CC92B"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74. Bet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3F5A31D"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2CED606"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75. Clan</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885AF6C"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17F37A0"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76. punish</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342D4F57"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BA781DA"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77. present</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26EDF739"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9499535"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78. XP</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23AFA08C"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12320327"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79. </w:t>
            </w:r>
            <w:proofErr w:type="spellStart"/>
            <w:r>
              <w:rPr>
                <w:rFonts w:ascii="Times New Roman" w:eastAsia="Times New Roman" w:hAnsi="Times New Roman" w:cs="Times New Roman"/>
                <w:sz w:val="24"/>
                <w:szCs w:val="24"/>
                <w:highlight w:val="white"/>
              </w:rPr>
              <w:t>Challeng</w:t>
            </w:r>
            <w:proofErr w:type="spellEnd"/>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8367C7D"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3AEE93D"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80. option</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52B0EC12" w14:textId="77777777" w:rsidTr="003055DF">
        <w:trPr>
          <w:trHeight w:val="420"/>
        </w:trPr>
        <w:tc>
          <w:tcPr>
            <w:tcW w:w="8100" w:type="dxa"/>
            <w:tcBorders>
              <w:top w:val="nil"/>
              <w:left w:val="nil"/>
              <w:bottom w:val="nil"/>
              <w:right w:val="nil"/>
            </w:tcBorders>
            <w:tcMar>
              <w:top w:w="0" w:type="dxa"/>
              <w:left w:w="0" w:type="dxa"/>
              <w:bottom w:w="0" w:type="dxa"/>
              <w:right w:w="0" w:type="dxa"/>
            </w:tcMar>
            <w:vAlign w:val="center"/>
          </w:tcPr>
          <w:p w14:paraId="2D528B26"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81. (</w:t>
            </w:r>
            <w:proofErr w:type="spellStart"/>
            <w:proofErr w:type="gramStart"/>
            <w:r>
              <w:rPr>
                <w:rFonts w:ascii="Times New Roman" w:eastAsia="Times New Roman" w:hAnsi="Times New Roman" w:cs="Times New Roman"/>
                <w:sz w:val="24"/>
                <w:szCs w:val="24"/>
                <w:highlight w:val="white"/>
              </w:rPr>
              <w:t>E?sport</w:t>
            </w:r>
            <w:proofErr w:type="spellEnd"/>
            <w:proofErr w:type="gramEnd"/>
            <w:r>
              <w:rPr>
                <w:rFonts w:ascii="Times New Roman" w:eastAsia="Times New Roman" w:hAnsi="Times New Roman" w:cs="Times New Roman"/>
                <w:sz w:val="24"/>
                <w:szCs w:val="24"/>
                <w:highlight w:val="white"/>
              </w:rPr>
              <w:t xml:space="preserve">* or </w:t>
            </w:r>
            <w:proofErr w:type="spellStart"/>
            <w:r>
              <w:rPr>
                <w:rFonts w:ascii="Times New Roman" w:eastAsia="Times New Roman" w:hAnsi="Times New Roman" w:cs="Times New Roman"/>
                <w:sz w:val="24"/>
                <w:szCs w:val="24"/>
                <w:highlight w:val="white"/>
              </w:rPr>
              <w:t>monetiz</w:t>
            </w:r>
            <w:proofErr w:type="spellEnd"/>
            <w:r>
              <w:rPr>
                <w:rFonts w:ascii="Times New Roman" w:eastAsia="Times New Roman" w:hAnsi="Times New Roman" w:cs="Times New Roman"/>
                <w:sz w:val="24"/>
                <w:szCs w:val="24"/>
                <w:highlight w:val="white"/>
              </w:rPr>
              <w:t xml:space="preserve">* or </w:t>
            </w:r>
            <w:proofErr w:type="spellStart"/>
            <w:r>
              <w:rPr>
                <w:rFonts w:ascii="Times New Roman" w:eastAsia="Times New Roman" w:hAnsi="Times New Roman" w:cs="Times New Roman"/>
                <w:sz w:val="24"/>
                <w:szCs w:val="24"/>
                <w:highlight w:val="white"/>
              </w:rPr>
              <w:t>monetis</w:t>
            </w:r>
            <w:proofErr w:type="spellEnd"/>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ti,ab</w:t>
            </w:r>
            <w:proofErr w:type="spellEnd"/>
            <w:r>
              <w:rPr>
                <w:rFonts w:ascii="Times New Roman" w:eastAsia="Times New Roman" w:hAnsi="Times New Roman" w:cs="Times New Roman"/>
                <w:sz w:val="24"/>
                <w:szCs w:val="24"/>
                <w:highlight w:val="white"/>
              </w:rPr>
              <w:t>.</w:t>
            </w:r>
          </w:p>
        </w:tc>
      </w:tr>
      <w:tr w:rsidR="00B862B4" w14:paraId="6193F608"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85D6260"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82. DLC</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6CEF23DA"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04528619"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83. </w:t>
            </w:r>
            <w:proofErr w:type="spellStart"/>
            <w:r>
              <w:rPr>
                <w:rFonts w:ascii="Times New Roman" w:eastAsia="Times New Roman" w:hAnsi="Times New Roman" w:cs="Times New Roman"/>
                <w:sz w:val="24"/>
                <w:szCs w:val="24"/>
                <w:highlight w:val="white"/>
              </w:rPr>
              <w:t>Expans</w:t>
            </w:r>
            <w:proofErr w:type="spellEnd"/>
            <w:r>
              <w:rPr>
                <w:rFonts w:ascii="Times New Roman" w:eastAsia="Times New Roman" w:hAnsi="Times New Roman" w:cs="Times New Roman"/>
                <w:sz w:val="24"/>
                <w:szCs w:val="24"/>
                <w:highlight w:val="white"/>
              </w:rPr>
              <w:t>* pack</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269E37D"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D3F59EF"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84. battle pass</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739449D"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63491F0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85. weapon</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94BEF88"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3B09FD6C"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86. </w:t>
            </w:r>
            <w:proofErr w:type="spellStart"/>
            <w:proofErr w:type="gramStart"/>
            <w:r>
              <w:rPr>
                <w:rFonts w:ascii="Times New Roman" w:eastAsia="Times New Roman" w:hAnsi="Times New Roman" w:cs="Times New Roman"/>
                <w:sz w:val="24"/>
                <w:szCs w:val="24"/>
                <w:highlight w:val="white"/>
              </w:rPr>
              <w:t>clothing.ti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0A009483"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4130D8F9"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87. level</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783DFAA9"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34E2714"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88. bonus</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580A96D9"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7CC621C6"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89. casino</w:t>
            </w:r>
            <w:proofErr w:type="gramStart"/>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w:t>
            </w:r>
            <w:proofErr w:type="gramEnd"/>
            <w:r>
              <w:rPr>
                <w:rFonts w:ascii="Times New Roman" w:eastAsia="Times New Roman" w:hAnsi="Times New Roman" w:cs="Times New Roman"/>
                <w:sz w:val="24"/>
                <w:szCs w:val="24"/>
                <w:highlight w:val="white"/>
              </w:rPr>
              <w:t>,ab</w:t>
            </w:r>
            <w:proofErr w:type="spellEnd"/>
            <w:r>
              <w:rPr>
                <w:rFonts w:ascii="Times New Roman" w:eastAsia="Times New Roman" w:hAnsi="Times New Roman" w:cs="Times New Roman"/>
                <w:sz w:val="24"/>
                <w:szCs w:val="24"/>
                <w:highlight w:val="white"/>
              </w:rPr>
              <w:t>.</w:t>
            </w:r>
          </w:p>
        </w:tc>
      </w:tr>
      <w:tr w:rsidR="00B862B4" w14:paraId="1455651F"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949EEA8"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90. </w:t>
            </w:r>
            <w:proofErr w:type="spellStart"/>
            <w:proofErr w:type="gramStart"/>
            <w:r>
              <w:rPr>
                <w:rFonts w:ascii="Times New Roman" w:eastAsia="Times New Roman" w:hAnsi="Times New Roman" w:cs="Times New Roman"/>
                <w:sz w:val="24"/>
                <w:szCs w:val="24"/>
                <w:highlight w:val="white"/>
              </w:rPr>
              <w:t>in?game</w:t>
            </w:r>
            <w:proofErr w:type="spellEnd"/>
            <w:proofErr w:type="gramEnd"/>
            <w:r>
              <w:rPr>
                <w:rFonts w:ascii="Times New Roman" w:eastAsia="Times New Roman" w:hAnsi="Times New Roman" w:cs="Times New Roman"/>
                <w:sz w:val="24"/>
                <w:szCs w:val="24"/>
                <w:highlight w:val="white"/>
              </w:rPr>
              <w:t xml:space="preserve"> reward*.</w:t>
            </w:r>
            <w:proofErr w:type="spellStart"/>
            <w:r>
              <w:rPr>
                <w:rFonts w:ascii="Times New Roman" w:eastAsia="Times New Roman" w:hAnsi="Times New Roman" w:cs="Times New Roman"/>
                <w:sz w:val="24"/>
                <w:szCs w:val="24"/>
                <w:highlight w:val="white"/>
              </w:rPr>
              <w:t>ti,ab</w:t>
            </w:r>
            <w:proofErr w:type="spellEnd"/>
            <w:r>
              <w:rPr>
                <w:rFonts w:ascii="Times New Roman" w:eastAsia="Times New Roman" w:hAnsi="Times New Roman" w:cs="Times New Roman"/>
                <w:sz w:val="24"/>
                <w:szCs w:val="24"/>
                <w:highlight w:val="white"/>
              </w:rPr>
              <w:t>.</w:t>
            </w:r>
          </w:p>
        </w:tc>
      </w:tr>
      <w:tr w:rsidR="00B862B4" w14:paraId="62541B9F"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2B1511A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91. </w:t>
            </w:r>
            <w:proofErr w:type="spellStart"/>
            <w:proofErr w:type="gramStart"/>
            <w:r>
              <w:rPr>
                <w:rFonts w:ascii="Times New Roman" w:eastAsia="Times New Roman" w:hAnsi="Times New Roman" w:cs="Times New Roman"/>
                <w:sz w:val="24"/>
                <w:szCs w:val="24"/>
                <w:highlight w:val="white"/>
              </w:rPr>
              <w:t>In?app</w:t>
            </w:r>
            <w:proofErr w:type="spellEnd"/>
            <w:proofErr w:type="gram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purchas</w:t>
            </w:r>
            <w:proofErr w:type="spellEnd"/>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ti,ab</w:t>
            </w:r>
            <w:proofErr w:type="spellEnd"/>
            <w:r>
              <w:rPr>
                <w:rFonts w:ascii="Times New Roman" w:eastAsia="Times New Roman" w:hAnsi="Times New Roman" w:cs="Times New Roman"/>
                <w:sz w:val="24"/>
                <w:szCs w:val="24"/>
                <w:highlight w:val="white"/>
              </w:rPr>
              <w:t>.</w:t>
            </w:r>
          </w:p>
        </w:tc>
      </w:tr>
      <w:tr w:rsidR="00B862B4" w14:paraId="5D9249C9" w14:textId="77777777" w:rsidTr="003055DF">
        <w:trPr>
          <w:trHeight w:val="1425"/>
        </w:trPr>
        <w:tc>
          <w:tcPr>
            <w:tcW w:w="8100" w:type="dxa"/>
            <w:tcBorders>
              <w:top w:val="nil"/>
              <w:left w:val="nil"/>
              <w:bottom w:val="nil"/>
              <w:right w:val="nil"/>
            </w:tcBorders>
            <w:tcMar>
              <w:top w:w="0" w:type="dxa"/>
              <w:left w:w="0" w:type="dxa"/>
              <w:bottom w:w="0" w:type="dxa"/>
              <w:right w:w="0" w:type="dxa"/>
            </w:tcMar>
            <w:vAlign w:val="center"/>
          </w:tcPr>
          <w:p w14:paraId="4FB493AE"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92.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 or 87 or 88 or 89 or 90 or 91</w:t>
            </w:r>
          </w:p>
        </w:tc>
      </w:tr>
      <w:tr w:rsidR="00B862B4" w14:paraId="48CA790F" w14:textId="77777777" w:rsidTr="003055DF">
        <w:trPr>
          <w:trHeight w:val="225"/>
        </w:trPr>
        <w:tc>
          <w:tcPr>
            <w:tcW w:w="8100" w:type="dxa"/>
            <w:tcBorders>
              <w:top w:val="nil"/>
              <w:left w:val="nil"/>
              <w:bottom w:val="nil"/>
              <w:right w:val="nil"/>
            </w:tcBorders>
            <w:tcMar>
              <w:top w:w="0" w:type="dxa"/>
              <w:left w:w="0" w:type="dxa"/>
              <w:bottom w:w="0" w:type="dxa"/>
              <w:right w:w="0" w:type="dxa"/>
            </w:tcMar>
            <w:vAlign w:val="center"/>
          </w:tcPr>
          <w:p w14:paraId="50257A1D" w14:textId="77777777" w:rsidR="00B862B4" w:rsidRDefault="00B862B4" w:rsidP="003055DF">
            <w:pPr>
              <w:spacing w:line="360" w:lineRule="auto"/>
              <w:ind w:left="286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93. 21 and 92</w:t>
            </w:r>
          </w:p>
        </w:tc>
      </w:tr>
    </w:tbl>
    <w:p w14:paraId="1A931C14" w14:textId="77777777" w:rsidR="00B862B4" w:rsidRDefault="00B862B4" w:rsidP="00B862B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Academic Search Complete Search String</w:t>
      </w:r>
      <w:r>
        <w:rPr>
          <w:rFonts w:ascii="Times New Roman" w:eastAsia="Times New Roman" w:hAnsi="Times New Roman" w:cs="Times New Roman"/>
          <w:sz w:val="24"/>
          <w:szCs w:val="24"/>
        </w:rPr>
        <w:t>:</w:t>
      </w:r>
    </w:p>
    <w:p w14:paraId="18A8E6C3" w14:textId="77777777" w:rsidR="00B862B4" w:rsidRDefault="00B862B4" w:rsidP="00B862B4">
      <w:pPr>
        <w:numPr>
          <w:ilvl w:val="0"/>
          <w:numId w:val="2"/>
        </w:numPr>
        <w:spacing w:line="480" w:lineRule="auto"/>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 "</w:t>
      </w:r>
      <w:proofErr w:type="gramEnd"/>
      <w:r>
        <w:rPr>
          <w:rFonts w:ascii="Times New Roman" w:eastAsia="Times New Roman" w:hAnsi="Times New Roman" w:cs="Times New Roman"/>
          <w:sz w:val="24"/>
          <w:szCs w:val="24"/>
          <w:highlight w:val="white"/>
        </w:rPr>
        <w:t xml:space="preserve">Internet Gaming Disorder"  OR  "Gaming Disorder"  OR  "Video Game Addiction" ) )  AND  ( "Game Design"  OR  "Game Feature"  OR  "Mechanism"  OR  "Structural Characteristic" </w:t>
      </w:r>
    </w:p>
    <w:p w14:paraId="22A982DC" w14:textId="77777777" w:rsidR="00B862B4" w:rsidRDefault="00B862B4" w:rsidP="00B862B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Scopus Search String</w:t>
      </w:r>
      <w:r>
        <w:rPr>
          <w:rFonts w:ascii="Times New Roman" w:eastAsia="Times New Roman" w:hAnsi="Times New Roman" w:cs="Times New Roman"/>
          <w:sz w:val="24"/>
          <w:szCs w:val="24"/>
        </w:rPr>
        <w:t>:</w:t>
      </w:r>
    </w:p>
    <w:p w14:paraId="5C0DF85A" w14:textId="77777777" w:rsidR="00B862B4" w:rsidRDefault="00B862B4" w:rsidP="00B862B4">
      <w:pPr>
        <w:numPr>
          <w:ilvl w:val="0"/>
          <w:numId w:val="4"/>
        </w:numPr>
        <w:spacing w:line="480" w:lineRule="auto"/>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t>( TITLE</w:t>
      </w:r>
      <w:proofErr w:type="gramEnd"/>
      <w:r>
        <w:rPr>
          <w:rFonts w:ascii="Times New Roman" w:eastAsia="Times New Roman" w:hAnsi="Times New Roman" w:cs="Times New Roman"/>
          <w:sz w:val="24"/>
          <w:szCs w:val="24"/>
          <w:highlight w:val="white"/>
        </w:rPr>
        <w:t xml:space="preserve"> ( ( ( "Internet Gaming Disorder"  OR  "Gaming Disorder"  OR  "Video Game Addiction" )  AND  ( "Game Design"  OR  "Game Feature"  OR  "Mechanism"  OR  "Structural Characteristic" ) ) )  OR  ABS ( ( ( "Internet Gaming Disorder"  OR  "Gaming Disorder"  OR  "Video Game Addiction" )  AND  ( "Game Design"  OR  "Game Feature"  OR  "Mechanism"  OR  "Structural Characteristic" ) ) ) )</w:t>
      </w:r>
    </w:p>
    <w:p w14:paraId="1EFD8B02" w14:textId="77777777" w:rsidR="00B862B4" w:rsidRDefault="00B862B4" w:rsidP="00B862B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Web of Science Search String</w:t>
      </w:r>
      <w:r>
        <w:rPr>
          <w:rFonts w:ascii="Times New Roman" w:eastAsia="Times New Roman" w:hAnsi="Times New Roman" w:cs="Times New Roman"/>
          <w:sz w:val="24"/>
          <w:szCs w:val="24"/>
        </w:rPr>
        <w:t>:</w:t>
      </w:r>
    </w:p>
    <w:p w14:paraId="7FCA9E4B" w14:textId="77777777" w:rsidR="00B862B4" w:rsidRDefault="00B862B4" w:rsidP="00B862B4">
      <w:pPr>
        <w:numPr>
          <w:ilvl w:val="0"/>
          <w:numId w:val="3"/>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("Internet Gaming Disorder</w:t>
      </w:r>
      <w:proofErr w:type="gramStart"/>
      <w:r>
        <w:rPr>
          <w:rFonts w:ascii="Times New Roman" w:eastAsia="Times New Roman" w:hAnsi="Times New Roman" w:cs="Times New Roman"/>
          <w:sz w:val="24"/>
          <w:szCs w:val="24"/>
          <w:highlight w:val="white"/>
        </w:rPr>
        <w:t>"  OR</w:t>
      </w:r>
      <w:proofErr w:type="gramEnd"/>
      <w:r>
        <w:rPr>
          <w:rFonts w:ascii="Times New Roman" w:eastAsia="Times New Roman" w:hAnsi="Times New Roman" w:cs="Times New Roman"/>
          <w:sz w:val="24"/>
          <w:szCs w:val="24"/>
          <w:highlight w:val="white"/>
        </w:rPr>
        <w:t xml:space="preserve">  "Gaming Disorder"  OR  "Video Game Addiction")  AND  ("Game Design"  OR  "Game Feature"  OR  "Mechanism"  OR  "Structural Characteristic") </w:t>
      </w:r>
    </w:p>
    <w:p w14:paraId="1B27A9E5" w14:textId="77777777" w:rsidR="00B862B4" w:rsidRDefault="00B862B4" w:rsidP="00B862B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Google Scholar Search String</w:t>
      </w:r>
      <w:r>
        <w:rPr>
          <w:rFonts w:ascii="Times New Roman" w:eastAsia="Times New Roman" w:hAnsi="Times New Roman" w:cs="Times New Roman"/>
          <w:sz w:val="24"/>
          <w:szCs w:val="24"/>
        </w:rPr>
        <w:t>:</w:t>
      </w:r>
    </w:p>
    <w:p w14:paraId="5BAD7967" w14:textId="77777777" w:rsidR="00B862B4" w:rsidRDefault="00B862B4" w:rsidP="00B862B4">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("Internet Gaming Disorder" OR "Video Game Addiction" OR "Gaming Disorder") AND "Feature" (n = 300)</w:t>
      </w:r>
    </w:p>
    <w:p w14:paraId="29173BA3" w14:textId="77777777" w:rsidR="00B862B4" w:rsidRDefault="00B862B4" w:rsidP="00B862B4">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("Internet Gaming Disorder" OR "Video Game Addiction" OR "Gaming Disorder") AND "structural characteristic" = (n = 28)</w:t>
      </w:r>
    </w:p>
    <w:p w14:paraId="7B57A02C" w14:textId="77777777" w:rsidR="00B862B4" w:rsidRDefault="00B862B4" w:rsidP="00B862B4">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("Internet Gaming Disorder" OR "Video Game Addiction" OR "Gaming Disorder") AND "Mechanism" (n = 300)</w:t>
      </w:r>
    </w:p>
    <w:p w14:paraId="6BA8AE85" w14:textId="77777777" w:rsidR="00B862B4" w:rsidRDefault="00B862B4" w:rsidP="00B862B4">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("Internet Gaming Disorder" OR "Video Game Addiction" OR "Gaming Disorder") AND "Characteristics" (n = 300)</w:t>
      </w:r>
    </w:p>
    <w:p w14:paraId="413C0BF1" w14:textId="77777777" w:rsidR="00B862B4" w:rsidRDefault="00B862B4" w:rsidP="00B862B4">
      <w:pPr>
        <w:numPr>
          <w:ilvl w:val="0"/>
          <w:numId w:val="1"/>
        </w:num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All papers that cite “Video Game Structural Characteristics: A New Psychological Taxonomy,” “The Structural Characteristics of Video Games: A Psycho-Structural Analysis.” “The role of structural characteristics in video-game play motivation: A Q-methodology study,” "The role of structural characteristics in problem video game playing: a review," “Video game characteristics, </w:t>
      </w:r>
      <w:proofErr w:type="gramStart"/>
      <w:r>
        <w:rPr>
          <w:rFonts w:ascii="Times New Roman" w:eastAsia="Times New Roman" w:hAnsi="Times New Roman" w:cs="Times New Roman"/>
          <w:sz w:val="24"/>
          <w:szCs w:val="24"/>
          <w:highlight w:val="white"/>
        </w:rPr>
        <w:t>happiness</w:t>
      </w:r>
      <w:proofErr w:type="gramEnd"/>
      <w:r>
        <w:rPr>
          <w:rFonts w:ascii="Times New Roman" w:eastAsia="Times New Roman" w:hAnsi="Times New Roman" w:cs="Times New Roman"/>
          <w:sz w:val="24"/>
          <w:szCs w:val="24"/>
          <w:highlight w:val="white"/>
        </w:rPr>
        <w:t xml:space="preserve"> and flow as predictors of addiction among video game players: A pilot study,” or “An overview of structural characteristics in problematic video game playing” (n = 995)</w:t>
      </w:r>
    </w:p>
    <w:p w14:paraId="37A2FE7C" w14:textId="77777777" w:rsidR="00B862B4" w:rsidRDefault="00B862B4" w:rsidP="00B862B4">
      <w:pPr>
        <w:rPr>
          <w:rFonts w:ascii="Times New Roman" w:eastAsia="Times New Roman" w:hAnsi="Times New Roman" w:cs="Times New Roman"/>
          <w:sz w:val="24"/>
          <w:szCs w:val="24"/>
        </w:rPr>
      </w:pPr>
    </w:p>
    <w:p w14:paraId="524C9125" w14:textId="77777777" w:rsidR="00B862B4" w:rsidRDefault="00B862B4"/>
    <w:sectPr w:rsidR="00B862B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0F956" w14:textId="77777777" w:rsidR="00DE3B0D" w:rsidRDefault="00DE3B0D" w:rsidP="00DA01CE">
      <w:pPr>
        <w:spacing w:line="240" w:lineRule="auto"/>
      </w:pPr>
      <w:r>
        <w:separator/>
      </w:r>
    </w:p>
  </w:endnote>
  <w:endnote w:type="continuationSeparator" w:id="0">
    <w:p w14:paraId="1D0E29A3" w14:textId="77777777" w:rsidR="00DE3B0D" w:rsidRDefault="00DE3B0D" w:rsidP="00DA01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15CCA" w14:textId="77777777" w:rsidR="00DE3B0D" w:rsidRDefault="00DE3B0D" w:rsidP="00DA01CE">
      <w:pPr>
        <w:spacing w:line="240" w:lineRule="auto"/>
      </w:pPr>
      <w:r>
        <w:separator/>
      </w:r>
    </w:p>
  </w:footnote>
  <w:footnote w:type="continuationSeparator" w:id="0">
    <w:p w14:paraId="7104F003" w14:textId="77777777" w:rsidR="00DE3B0D" w:rsidRDefault="00DE3B0D" w:rsidP="00DA01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876927568"/>
      <w:docPartObj>
        <w:docPartGallery w:val="Page Numbers (Top of Page)"/>
        <w:docPartUnique/>
      </w:docPartObj>
    </w:sdtPr>
    <w:sdtEndPr>
      <w:rPr>
        <w:rStyle w:val="Oldalszm"/>
      </w:rPr>
    </w:sdtEndPr>
    <w:sdtContent>
      <w:p w14:paraId="4F8CA60B" w14:textId="3D866E0F" w:rsidR="00DA01CE" w:rsidRDefault="00DA01CE" w:rsidP="00121F77">
        <w:pPr>
          <w:pStyle w:val="lfej"/>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14:paraId="5EBA9145" w14:textId="77777777" w:rsidR="00DA01CE" w:rsidRDefault="00DA01CE" w:rsidP="00DA01CE">
    <w:pPr>
      <w:pStyle w:val="lfej"/>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2118436649"/>
      <w:docPartObj>
        <w:docPartGallery w:val="Page Numbers (Top of Page)"/>
        <w:docPartUnique/>
      </w:docPartObj>
    </w:sdtPr>
    <w:sdtEndPr>
      <w:rPr>
        <w:rStyle w:val="Oldalszm"/>
      </w:rPr>
    </w:sdtEndPr>
    <w:sdtContent>
      <w:p w14:paraId="3A3702C9" w14:textId="02E9D2CE" w:rsidR="00DA01CE" w:rsidRDefault="00DA01CE" w:rsidP="00121F77">
        <w:pPr>
          <w:pStyle w:val="lfej"/>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20</w:t>
        </w:r>
        <w:r>
          <w:rPr>
            <w:rStyle w:val="Oldalszm"/>
          </w:rPr>
          <w:fldChar w:fldCharType="end"/>
        </w:r>
      </w:p>
    </w:sdtContent>
  </w:sdt>
  <w:tbl>
    <w:tblPr>
      <w:tblW w:w="5000" w:type="pct"/>
      <w:tblCellMar>
        <w:left w:w="0" w:type="dxa"/>
        <w:right w:w="0" w:type="dxa"/>
      </w:tblCellMar>
      <w:tblLook w:val="04A0" w:firstRow="1" w:lastRow="0" w:firstColumn="1" w:lastColumn="0" w:noHBand="0" w:noVBand="1"/>
    </w:tblPr>
    <w:tblGrid>
      <w:gridCol w:w="3120"/>
      <w:gridCol w:w="3121"/>
      <w:gridCol w:w="3119"/>
    </w:tblGrid>
    <w:tr w:rsidR="00DA01CE" w14:paraId="4AB1DC93" w14:textId="77777777">
      <w:trPr>
        <w:trHeight w:val="720"/>
      </w:trPr>
      <w:tc>
        <w:tcPr>
          <w:tcW w:w="1667" w:type="pct"/>
        </w:tcPr>
        <w:p w14:paraId="56AB1671" w14:textId="77777777" w:rsidR="00DA01CE" w:rsidRDefault="00DA01CE" w:rsidP="00DA01CE">
          <w:pPr>
            <w:pStyle w:val="lfej"/>
            <w:tabs>
              <w:tab w:val="clear" w:pos="4680"/>
              <w:tab w:val="clear" w:pos="9360"/>
            </w:tabs>
            <w:ind w:right="360"/>
            <w:rPr>
              <w:color w:val="4472C4" w:themeColor="accent1"/>
            </w:rPr>
          </w:pPr>
        </w:p>
      </w:tc>
      <w:tc>
        <w:tcPr>
          <w:tcW w:w="1667" w:type="pct"/>
        </w:tcPr>
        <w:p w14:paraId="7C88C936" w14:textId="77777777" w:rsidR="00DA01CE" w:rsidRDefault="00DA01CE">
          <w:pPr>
            <w:pStyle w:val="lfej"/>
            <w:tabs>
              <w:tab w:val="clear" w:pos="4680"/>
              <w:tab w:val="clear" w:pos="9360"/>
            </w:tabs>
            <w:jc w:val="center"/>
            <w:rPr>
              <w:color w:val="4472C4" w:themeColor="accent1"/>
            </w:rPr>
          </w:pPr>
        </w:p>
      </w:tc>
      <w:tc>
        <w:tcPr>
          <w:tcW w:w="1666" w:type="pct"/>
        </w:tcPr>
        <w:p w14:paraId="269C067E" w14:textId="10B99287" w:rsidR="00DA01CE" w:rsidRDefault="00DA01CE">
          <w:pPr>
            <w:pStyle w:val="lfej"/>
            <w:tabs>
              <w:tab w:val="clear" w:pos="4680"/>
              <w:tab w:val="clear" w:pos="9360"/>
            </w:tabs>
            <w:jc w:val="right"/>
            <w:rPr>
              <w:color w:val="4472C4" w:themeColor="accent1"/>
            </w:rPr>
          </w:pPr>
        </w:p>
      </w:tc>
    </w:tr>
  </w:tbl>
  <w:p w14:paraId="316CF1A2" w14:textId="77777777" w:rsidR="00DA01CE" w:rsidRDefault="00DA01C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03DF5"/>
    <w:multiLevelType w:val="multilevel"/>
    <w:tmpl w:val="1E308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7B3AB5"/>
    <w:multiLevelType w:val="multilevel"/>
    <w:tmpl w:val="C2EC5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6D1222"/>
    <w:multiLevelType w:val="hybridMultilevel"/>
    <w:tmpl w:val="908E3BEE"/>
    <w:lvl w:ilvl="0" w:tplc="AFD880A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606F97"/>
    <w:multiLevelType w:val="multilevel"/>
    <w:tmpl w:val="66F43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2333F0"/>
    <w:multiLevelType w:val="multilevel"/>
    <w:tmpl w:val="91862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930432">
    <w:abstractNumId w:val="3"/>
  </w:num>
  <w:num w:numId="2" w16cid:durableId="1702315996">
    <w:abstractNumId w:val="0"/>
  </w:num>
  <w:num w:numId="3" w16cid:durableId="1991860243">
    <w:abstractNumId w:val="1"/>
  </w:num>
  <w:num w:numId="4" w16cid:durableId="158886466">
    <w:abstractNumId w:val="4"/>
  </w:num>
  <w:num w:numId="5" w16cid:durableId="866404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2B4"/>
    <w:rsid w:val="00052BA0"/>
    <w:rsid w:val="00062B47"/>
    <w:rsid w:val="000C4325"/>
    <w:rsid w:val="000D6D6A"/>
    <w:rsid w:val="001065FA"/>
    <w:rsid w:val="001A4818"/>
    <w:rsid w:val="00340AAE"/>
    <w:rsid w:val="0045740A"/>
    <w:rsid w:val="00487258"/>
    <w:rsid w:val="006A505F"/>
    <w:rsid w:val="00AE38A8"/>
    <w:rsid w:val="00B0304C"/>
    <w:rsid w:val="00B66D5B"/>
    <w:rsid w:val="00B862B4"/>
    <w:rsid w:val="00CB6499"/>
    <w:rsid w:val="00DA01CE"/>
    <w:rsid w:val="00DD0AEF"/>
    <w:rsid w:val="00DE3B0D"/>
    <w:rsid w:val="00F63229"/>
    <w:rsid w:val="00F818C8"/>
    <w:rsid w:val="00FB1F5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799EF"/>
  <w15:chartTrackingRefBased/>
  <w15:docId w15:val="{161D3E50-BA6E-074E-B4A5-21CF6A8C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862B4"/>
    <w:pPr>
      <w:spacing w:line="276" w:lineRule="auto"/>
    </w:pPr>
    <w:rPr>
      <w:rFonts w:ascii="Arial" w:eastAsia="Arial" w:hAnsi="Arial" w:cs="Arial"/>
      <w:sz w:val="22"/>
      <w:szCs w:val="22"/>
      <w:lang w:val="en"/>
    </w:rPr>
  </w:style>
  <w:style w:type="paragraph" w:styleId="Cmsor1">
    <w:name w:val="heading 1"/>
    <w:basedOn w:val="Norml"/>
    <w:next w:val="Norml"/>
    <w:link w:val="Cmsor1Char"/>
    <w:uiPriority w:val="9"/>
    <w:qFormat/>
    <w:rsid w:val="00B862B4"/>
    <w:pPr>
      <w:keepNext/>
      <w:keepLines/>
      <w:spacing w:before="400" w:after="120"/>
      <w:outlineLvl w:val="0"/>
    </w:pPr>
    <w:rPr>
      <w:sz w:val="40"/>
      <w:szCs w:val="40"/>
    </w:rPr>
  </w:style>
  <w:style w:type="paragraph" w:styleId="Cmsor2">
    <w:name w:val="heading 2"/>
    <w:basedOn w:val="Norml"/>
    <w:next w:val="Norml"/>
    <w:link w:val="Cmsor2Char"/>
    <w:uiPriority w:val="9"/>
    <w:semiHidden/>
    <w:unhideWhenUsed/>
    <w:qFormat/>
    <w:rsid w:val="00B862B4"/>
    <w:pPr>
      <w:keepNext/>
      <w:keepLines/>
      <w:spacing w:before="360" w:after="120"/>
      <w:outlineLvl w:val="1"/>
    </w:pPr>
    <w:rPr>
      <w:sz w:val="32"/>
      <w:szCs w:val="32"/>
    </w:rPr>
  </w:style>
  <w:style w:type="paragraph" w:styleId="Cmsor3">
    <w:name w:val="heading 3"/>
    <w:basedOn w:val="Norml"/>
    <w:next w:val="Norml"/>
    <w:link w:val="Cmsor3Char"/>
    <w:uiPriority w:val="9"/>
    <w:semiHidden/>
    <w:unhideWhenUsed/>
    <w:qFormat/>
    <w:rsid w:val="00B862B4"/>
    <w:pPr>
      <w:keepNext/>
      <w:keepLines/>
      <w:spacing w:before="320" w:after="80"/>
      <w:outlineLvl w:val="2"/>
    </w:pPr>
    <w:rPr>
      <w:color w:val="434343"/>
      <w:sz w:val="28"/>
      <w:szCs w:val="28"/>
    </w:rPr>
  </w:style>
  <w:style w:type="paragraph" w:styleId="Cmsor4">
    <w:name w:val="heading 4"/>
    <w:basedOn w:val="Norml"/>
    <w:next w:val="Norml"/>
    <w:link w:val="Cmsor4Char"/>
    <w:uiPriority w:val="9"/>
    <w:semiHidden/>
    <w:unhideWhenUsed/>
    <w:qFormat/>
    <w:rsid w:val="00B862B4"/>
    <w:pPr>
      <w:keepNext/>
      <w:keepLines/>
      <w:spacing w:before="280" w:after="80"/>
      <w:outlineLvl w:val="3"/>
    </w:pPr>
    <w:rPr>
      <w:color w:val="666666"/>
      <w:sz w:val="24"/>
      <w:szCs w:val="24"/>
    </w:rPr>
  </w:style>
  <w:style w:type="paragraph" w:styleId="Cmsor5">
    <w:name w:val="heading 5"/>
    <w:basedOn w:val="Norml"/>
    <w:next w:val="Norml"/>
    <w:link w:val="Cmsor5Char"/>
    <w:uiPriority w:val="9"/>
    <w:semiHidden/>
    <w:unhideWhenUsed/>
    <w:qFormat/>
    <w:rsid w:val="00B862B4"/>
    <w:pPr>
      <w:keepNext/>
      <w:keepLines/>
      <w:spacing w:before="240" w:after="80"/>
      <w:outlineLvl w:val="4"/>
    </w:pPr>
    <w:rPr>
      <w:color w:val="666666"/>
    </w:rPr>
  </w:style>
  <w:style w:type="paragraph" w:styleId="Cmsor6">
    <w:name w:val="heading 6"/>
    <w:basedOn w:val="Norml"/>
    <w:next w:val="Norml"/>
    <w:link w:val="Cmsor6Char"/>
    <w:uiPriority w:val="9"/>
    <w:semiHidden/>
    <w:unhideWhenUsed/>
    <w:qFormat/>
    <w:rsid w:val="00B862B4"/>
    <w:pPr>
      <w:keepNext/>
      <w:keepLines/>
      <w:spacing w:before="240" w:after="80"/>
      <w:outlineLvl w:val="5"/>
    </w:pPr>
    <w:rPr>
      <w:i/>
      <w:color w:val="66666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862B4"/>
    <w:rPr>
      <w:rFonts w:ascii="Arial" w:eastAsia="Arial" w:hAnsi="Arial" w:cs="Arial"/>
      <w:sz w:val="40"/>
      <w:szCs w:val="40"/>
      <w:lang w:val="en"/>
    </w:rPr>
  </w:style>
  <w:style w:type="character" w:customStyle="1" w:styleId="Cmsor2Char">
    <w:name w:val="Címsor 2 Char"/>
    <w:basedOn w:val="Bekezdsalapbettpusa"/>
    <w:link w:val="Cmsor2"/>
    <w:uiPriority w:val="9"/>
    <w:semiHidden/>
    <w:rsid w:val="00B862B4"/>
    <w:rPr>
      <w:rFonts w:ascii="Arial" w:eastAsia="Arial" w:hAnsi="Arial" w:cs="Arial"/>
      <w:sz w:val="32"/>
      <w:szCs w:val="32"/>
      <w:lang w:val="en"/>
    </w:rPr>
  </w:style>
  <w:style w:type="character" w:customStyle="1" w:styleId="Cmsor3Char">
    <w:name w:val="Címsor 3 Char"/>
    <w:basedOn w:val="Bekezdsalapbettpusa"/>
    <w:link w:val="Cmsor3"/>
    <w:uiPriority w:val="9"/>
    <w:semiHidden/>
    <w:rsid w:val="00B862B4"/>
    <w:rPr>
      <w:rFonts w:ascii="Arial" w:eastAsia="Arial" w:hAnsi="Arial" w:cs="Arial"/>
      <w:color w:val="434343"/>
      <w:sz w:val="28"/>
      <w:szCs w:val="28"/>
      <w:lang w:val="en"/>
    </w:rPr>
  </w:style>
  <w:style w:type="character" w:customStyle="1" w:styleId="Cmsor4Char">
    <w:name w:val="Címsor 4 Char"/>
    <w:basedOn w:val="Bekezdsalapbettpusa"/>
    <w:link w:val="Cmsor4"/>
    <w:uiPriority w:val="9"/>
    <w:semiHidden/>
    <w:rsid w:val="00B862B4"/>
    <w:rPr>
      <w:rFonts w:ascii="Arial" w:eastAsia="Arial" w:hAnsi="Arial" w:cs="Arial"/>
      <w:color w:val="666666"/>
      <w:lang w:val="en"/>
    </w:rPr>
  </w:style>
  <w:style w:type="character" w:customStyle="1" w:styleId="Cmsor5Char">
    <w:name w:val="Címsor 5 Char"/>
    <w:basedOn w:val="Bekezdsalapbettpusa"/>
    <w:link w:val="Cmsor5"/>
    <w:uiPriority w:val="9"/>
    <w:semiHidden/>
    <w:rsid w:val="00B862B4"/>
    <w:rPr>
      <w:rFonts w:ascii="Arial" w:eastAsia="Arial" w:hAnsi="Arial" w:cs="Arial"/>
      <w:color w:val="666666"/>
      <w:sz w:val="22"/>
      <w:szCs w:val="22"/>
      <w:lang w:val="en"/>
    </w:rPr>
  </w:style>
  <w:style w:type="character" w:customStyle="1" w:styleId="Cmsor6Char">
    <w:name w:val="Címsor 6 Char"/>
    <w:basedOn w:val="Bekezdsalapbettpusa"/>
    <w:link w:val="Cmsor6"/>
    <w:uiPriority w:val="9"/>
    <w:semiHidden/>
    <w:rsid w:val="00B862B4"/>
    <w:rPr>
      <w:rFonts w:ascii="Arial" w:eastAsia="Arial" w:hAnsi="Arial" w:cs="Arial"/>
      <w:i/>
      <w:color w:val="666666"/>
      <w:sz w:val="22"/>
      <w:szCs w:val="22"/>
      <w:lang w:val="en"/>
    </w:rPr>
  </w:style>
  <w:style w:type="paragraph" w:styleId="Cm">
    <w:name w:val="Title"/>
    <w:basedOn w:val="Norml"/>
    <w:next w:val="Norml"/>
    <w:link w:val="CmChar"/>
    <w:uiPriority w:val="10"/>
    <w:qFormat/>
    <w:rsid w:val="00B862B4"/>
    <w:pPr>
      <w:keepNext/>
      <w:keepLines/>
      <w:spacing w:after="60"/>
    </w:pPr>
    <w:rPr>
      <w:sz w:val="52"/>
      <w:szCs w:val="52"/>
    </w:rPr>
  </w:style>
  <w:style w:type="character" w:customStyle="1" w:styleId="CmChar">
    <w:name w:val="Cím Char"/>
    <w:basedOn w:val="Bekezdsalapbettpusa"/>
    <w:link w:val="Cm"/>
    <w:uiPriority w:val="10"/>
    <w:rsid w:val="00B862B4"/>
    <w:rPr>
      <w:rFonts w:ascii="Arial" w:eastAsia="Arial" w:hAnsi="Arial" w:cs="Arial"/>
      <w:sz w:val="52"/>
      <w:szCs w:val="52"/>
      <w:lang w:val="en"/>
    </w:rPr>
  </w:style>
  <w:style w:type="paragraph" w:styleId="Alcm">
    <w:name w:val="Subtitle"/>
    <w:basedOn w:val="Norml"/>
    <w:next w:val="Norml"/>
    <w:link w:val="AlcmChar"/>
    <w:uiPriority w:val="11"/>
    <w:qFormat/>
    <w:rsid w:val="00B862B4"/>
    <w:pPr>
      <w:keepNext/>
      <w:keepLines/>
      <w:spacing w:after="320"/>
    </w:pPr>
    <w:rPr>
      <w:color w:val="666666"/>
      <w:sz w:val="30"/>
      <w:szCs w:val="30"/>
    </w:rPr>
  </w:style>
  <w:style w:type="character" w:customStyle="1" w:styleId="AlcmChar">
    <w:name w:val="Alcím Char"/>
    <w:basedOn w:val="Bekezdsalapbettpusa"/>
    <w:link w:val="Alcm"/>
    <w:uiPriority w:val="11"/>
    <w:rsid w:val="00B862B4"/>
    <w:rPr>
      <w:rFonts w:ascii="Arial" w:eastAsia="Arial" w:hAnsi="Arial" w:cs="Arial"/>
      <w:color w:val="666666"/>
      <w:sz w:val="30"/>
      <w:szCs w:val="30"/>
      <w:lang w:val="en"/>
    </w:rPr>
  </w:style>
  <w:style w:type="paragraph" w:styleId="Vltozat">
    <w:name w:val="Revision"/>
    <w:hidden/>
    <w:uiPriority w:val="99"/>
    <w:semiHidden/>
    <w:rsid w:val="00B862B4"/>
    <w:rPr>
      <w:rFonts w:ascii="Arial" w:eastAsia="Arial" w:hAnsi="Arial" w:cs="Arial"/>
      <w:sz w:val="22"/>
      <w:szCs w:val="22"/>
      <w:lang w:val="en"/>
    </w:rPr>
  </w:style>
  <w:style w:type="character" w:styleId="Jegyzethivatkozs">
    <w:name w:val="annotation reference"/>
    <w:basedOn w:val="Bekezdsalapbettpusa"/>
    <w:uiPriority w:val="99"/>
    <w:semiHidden/>
    <w:unhideWhenUsed/>
    <w:rsid w:val="00B862B4"/>
    <w:rPr>
      <w:sz w:val="16"/>
      <w:szCs w:val="16"/>
    </w:rPr>
  </w:style>
  <w:style w:type="paragraph" w:styleId="Jegyzetszveg">
    <w:name w:val="annotation text"/>
    <w:basedOn w:val="Norml"/>
    <w:link w:val="JegyzetszvegChar"/>
    <w:uiPriority w:val="99"/>
    <w:semiHidden/>
    <w:unhideWhenUsed/>
    <w:rsid w:val="00B862B4"/>
    <w:pPr>
      <w:spacing w:line="240" w:lineRule="auto"/>
    </w:pPr>
    <w:rPr>
      <w:sz w:val="20"/>
      <w:szCs w:val="20"/>
    </w:rPr>
  </w:style>
  <w:style w:type="character" w:customStyle="1" w:styleId="JegyzetszvegChar">
    <w:name w:val="Jegyzetszöveg Char"/>
    <w:basedOn w:val="Bekezdsalapbettpusa"/>
    <w:link w:val="Jegyzetszveg"/>
    <w:uiPriority w:val="99"/>
    <w:semiHidden/>
    <w:rsid w:val="00B862B4"/>
    <w:rPr>
      <w:rFonts w:ascii="Arial" w:eastAsia="Arial" w:hAnsi="Arial" w:cs="Arial"/>
      <w:sz w:val="20"/>
      <w:szCs w:val="20"/>
      <w:lang w:val="en"/>
    </w:rPr>
  </w:style>
  <w:style w:type="paragraph" w:styleId="Megjegyzstrgya">
    <w:name w:val="annotation subject"/>
    <w:basedOn w:val="Jegyzetszveg"/>
    <w:next w:val="Jegyzetszveg"/>
    <w:link w:val="MegjegyzstrgyaChar"/>
    <w:uiPriority w:val="99"/>
    <w:semiHidden/>
    <w:unhideWhenUsed/>
    <w:rsid w:val="00B862B4"/>
    <w:rPr>
      <w:b/>
      <w:bCs/>
    </w:rPr>
  </w:style>
  <w:style w:type="character" w:customStyle="1" w:styleId="MegjegyzstrgyaChar">
    <w:name w:val="Megjegyzés tárgya Char"/>
    <w:basedOn w:val="JegyzetszvegChar"/>
    <w:link w:val="Megjegyzstrgya"/>
    <w:uiPriority w:val="99"/>
    <w:semiHidden/>
    <w:rsid w:val="00B862B4"/>
    <w:rPr>
      <w:rFonts w:ascii="Arial" w:eastAsia="Arial" w:hAnsi="Arial" w:cs="Arial"/>
      <w:b/>
      <w:bCs/>
      <w:sz w:val="20"/>
      <w:szCs w:val="20"/>
      <w:lang w:val="en"/>
    </w:rPr>
  </w:style>
  <w:style w:type="paragraph" w:styleId="Listaszerbekezds">
    <w:name w:val="List Paragraph"/>
    <w:basedOn w:val="Norml"/>
    <w:uiPriority w:val="34"/>
    <w:qFormat/>
    <w:rsid w:val="00B862B4"/>
    <w:pPr>
      <w:ind w:left="720"/>
      <w:contextualSpacing/>
    </w:pPr>
  </w:style>
  <w:style w:type="paragraph" w:styleId="lfej">
    <w:name w:val="header"/>
    <w:basedOn w:val="Norml"/>
    <w:link w:val="lfejChar"/>
    <w:uiPriority w:val="99"/>
    <w:unhideWhenUsed/>
    <w:rsid w:val="00B862B4"/>
    <w:pPr>
      <w:tabs>
        <w:tab w:val="center" w:pos="4680"/>
        <w:tab w:val="right" w:pos="9360"/>
      </w:tabs>
      <w:spacing w:line="240" w:lineRule="auto"/>
    </w:pPr>
  </w:style>
  <w:style w:type="character" w:customStyle="1" w:styleId="lfejChar">
    <w:name w:val="Élőfej Char"/>
    <w:basedOn w:val="Bekezdsalapbettpusa"/>
    <w:link w:val="lfej"/>
    <w:uiPriority w:val="99"/>
    <w:rsid w:val="00B862B4"/>
    <w:rPr>
      <w:rFonts w:ascii="Arial" w:eastAsia="Arial" w:hAnsi="Arial" w:cs="Arial"/>
      <w:sz w:val="22"/>
      <w:szCs w:val="22"/>
      <w:lang w:val="en"/>
    </w:rPr>
  </w:style>
  <w:style w:type="paragraph" w:styleId="llb">
    <w:name w:val="footer"/>
    <w:basedOn w:val="Norml"/>
    <w:link w:val="llbChar"/>
    <w:uiPriority w:val="99"/>
    <w:unhideWhenUsed/>
    <w:rsid w:val="00B862B4"/>
    <w:pPr>
      <w:tabs>
        <w:tab w:val="center" w:pos="4680"/>
        <w:tab w:val="right" w:pos="9360"/>
      </w:tabs>
      <w:spacing w:line="240" w:lineRule="auto"/>
    </w:pPr>
  </w:style>
  <w:style w:type="character" w:customStyle="1" w:styleId="llbChar">
    <w:name w:val="Élőláb Char"/>
    <w:basedOn w:val="Bekezdsalapbettpusa"/>
    <w:link w:val="llb"/>
    <w:uiPriority w:val="99"/>
    <w:rsid w:val="00B862B4"/>
    <w:rPr>
      <w:rFonts w:ascii="Arial" w:eastAsia="Arial" w:hAnsi="Arial" w:cs="Arial"/>
      <w:sz w:val="22"/>
      <w:szCs w:val="22"/>
      <w:lang w:val="en"/>
    </w:rPr>
  </w:style>
  <w:style w:type="paragraph" w:styleId="Irodalomjegyzk">
    <w:name w:val="Bibliography"/>
    <w:basedOn w:val="Norml"/>
    <w:next w:val="Norml"/>
    <w:uiPriority w:val="37"/>
    <w:unhideWhenUsed/>
    <w:rsid w:val="00B862B4"/>
    <w:pPr>
      <w:ind w:hanging="624"/>
    </w:pPr>
  </w:style>
  <w:style w:type="paragraph" w:styleId="NormlWeb">
    <w:name w:val="Normal (Web)"/>
    <w:basedOn w:val="Norml"/>
    <w:uiPriority w:val="99"/>
    <w:semiHidden/>
    <w:unhideWhenUsed/>
    <w:rsid w:val="00B862B4"/>
    <w:pPr>
      <w:spacing w:before="100" w:beforeAutospacing="1" w:after="100" w:afterAutospacing="1" w:line="240" w:lineRule="auto"/>
    </w:pPr>
    <w:rPr>
      <w:rFonts w:ascii="Times New Roman" w:eastAsia="Times New Roman" w:hAnsi="Times New Roman" w:cs="Times New Roman"/>
      <w:sz w:val="24"/>
      <w:szCs w:val="24"/>
      <w:lang w:val="en-CA"/>
    </w:rPr>
  </w:style>
  <w:style w:type="character" w:styleId="Oldalszm">
    <w:name w:val="page number"/>
    <w:basedOn w:val="Bekezdsalapbettpusa"/>
    <w:uiPriority w:val="99"/>
    <w:semiHidden/>
    <w:unhideWhenUsed/>
    <w:rsid w:val="00DA01CE"/>
  </w:style>
  <w:style w:type="character" w:styleId="Hiperhivatkozs">
    <w:name w:val="Hyperlink"/>
    <w:basedOn w:val="Bekezdsalapbettpusa"/>
    <w:uiPriority w:val="99"/>
    <w:unhideWhenUsed/>
    <w:rsid w:val="00F818C8"/>
    <w:rPr>
      <w:color w:val="0563C1" w:themeColor="hyperlink"/>
      <w:u w:val="single"/>
    </w:rPr>
  </w:style>
  <w:style w:type="character" w:styleId="Feloldatlanmegemlts">
    <w:name w:val="Unresolved Mention"/>
    <w:basedOn w:val="Bekezdsalapbettpusa"/>
    <w:uiPriority w:val="99"/>
    <w:semiHidden/>
    <w:unhideWhenUsed/>
    <w:rsid w:val="00F81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57651">
      <w:bodyDiv w:val="1"/>
      <w:marLeft w:val="0"/>
      <w:marRight w:val="0"/>
      <w:marTop w:val="0"/>
      <w:marBottom w:val="0"/>
      <w:divBdr>
        <w:top w:val="none" w:sz="0" w:space="0" w:color="auto"/>
        <w:left w:val="none" w:sz="0" w:space="0" w:color="auto"/>
        <w:bottom w:val="none" w:sz="0" w:space="0" w:color="auto"/>
        <w:right w:val="none" w:sz="0" w:space="0" w:color="auto"/>
      </w:divBdr>
    </w:div>
    <w:div w:id="95571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56/2006.2023.00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3E8D2-40C4-FB46-B60B-FA9BC566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7960</Words>
  <Characters>54929</Characters>
  <Application>Microsoft Office Word</Application>
  <DocSecurity>0</DocSecurity>
  <Lines>457</Lines>
  <Paragraphs>125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Nirav Saini</dc:creator>
  <cp:keywords/>
  <dc:description/>
  <cp:lastModifiedBy>Kriston,  Orsolya</cp:lastModifiedBy>
  <cp:revision>3</cp:revision>
  <cp:lastPrinted>2022-08-26T08:28:00Z</cp:lastPrinted>
  <dcterms:created xsi:type="dcterms:W3CDTF">2022-10-29T17:26:00Z</dcterms:created>
  <dcterms:modified xsi:type="dcterms:W3CDTF">2023-05-02T10:53:00Z</dcterms:modified>
</cp:coreProperties>
</file>