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10AA6" w14:textId="77777777" w:rsidR="00783DCC" w:rsidRPr="000E0806" w:rsidRDefault="00AD0622" w:rsidP="00783DCC">
      <w:pPr>
        <w:spacing w:after="120" w:line="480" w:lineRule="auto"/>
        <w:jc w:val="center"/>
        <w:rPr>
          <w:rFonts w:cs="Calibri"/>
          <w:b/>
          <w:sz w:val="32"/>
          <w:szCs w:val="22"/>
          <w:u w:val="single"/>
        </w:rPr>
      </w:pPr>
      <w:r w:rsidRPr="000E0806">
        <w:rPr>
          <w:rFonts w:cs="Calibri"/>
          <w:b/>
          <w:sz w:val="32"/>
          <w:szCs w:val="22"/>
          <w:u w:val="single"/>
        </w:rPr>
        <w:t>Supplemental Information</w:t>
      </w:r>
    </w:p>
    <w:p w14:paraId="33C414AA" w14:textId="77777777" w:rsidR="00A55675" w:rsidRPr="00A55675" w:rsidRDefault="00A55675" w:rsidP="00A55675">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cs="Calibri"/>
          <w:b/>
          <w:sz w:val="32"/>
          <w:lang w:val="en-GB"/>
        </w:rPr>
      </w:pPr>
      <w:r w:rsidRPr="00A55675">
        <w:rPr>
          <w:rFonts w:cs="Calibri"/>
          <w:b/>
          <w:sz w:val="32"/>
          <w:lang w:val="en-GB"/>
        </w:rPr>
        <w:t>Striatal ups or downs? Neural correlates of monetary reward anticipation, cue reactivity and their interaction in alcohol use disorder and gambling disorder</w:t>
      </w:r>
    </w:p>
    <w:p w14:paraId="4CFB2184" w14:textId="77777777" w:rsidR="00783DCC" w:rsidRPr="000E0806" w:rsidRDefault="00783DCC" w:rsidP="00783DCC">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cs="Calibri"/>
          <w:lang w:val="nl-NL"/>
        </w:rPr>
      </w:pPr>
      <w:r w:rsidRPr="000E0806">
        <w:rPr>
          <w:rFonts w:eastAsia="Times New Roman" w:cs="Calibri"/>
          <w:lang w:val="nl-NL" w:eastAsia="en-GB"/>
        </w:rPr>
        <w:t>Tim van Timmeren, Ruth J. van Ho</w:t>
      </w:r>
      <w:r w:rsidR="000E0806" w:rsidRPr="000E0806">
        <w:rPr>
          <w:rFonts w:eastAsia="Times New Roman" w:cs="Calibri"/>
          <w:lang w:val="nl-NL" w:eastAsia="en-GB"/>
        </w:rPr>
        <w:t>lst</w:t>
      </w:r>
      <w:r w:rsidRPr="000E0806">
        <w:rPr>
          <w:rFonts w:eastAsia="Times New Roman" w:cs="Calibri"/>
          <w:lang w:val="nl-NL" w:eastAsia="en-GB"/>
        </w:rPr>
        <w:t>,</w:t>
      </w:r>
      <w:r w:rsidRPr="000E0806">
        <w:rPr>
          <w:rFonts w:eastAsia="Times New Roman" w:cs="Calibri"/>
          <w:vertAlign w:val="superscript"/>
          <w:lang w:val="nl-NL" w:eastAsia="en-GB"/>
        </w:rPr>
        <w:t xml:space="preserve"> </w:t>
      </w:r>
      <w:r w:rsidRPr="000E0806">
        <w:rPr>
          <w:rFonts w:eastAsia="Times New Roman" w:cs="Calibri"/>
          <w:lang w:val="nl-NL" w:eastAsia="en-GB"/>
        </w:rPr>
        <w:t>Anna E. Goudriaa</w:t>
      </w:r>
      <w:r w:rsidR="000E0806" w:rsidRPr="000E0806">
        <w:rPr>
          <w:rFonts w:eastAsia="Times New Roman" w:cs="Calibri"/>
          <w:lang w:val="nl-NL" w:eastAsia="en-GB"/>
        </w:rPr>
        <w:t>n</w:t>
      </w:r>
    </w:p>
    <w:p w14:paraId="672A6659" w14:textId="5452E599" w:rsidR="00783DCC" w:rsidRPr="00305DAA" w:rsidRDefault="00305DAA" w:rsidP="00E9319E">
      <w:pPr>
        <w:spacing w:after="120" w:line="480" w:lineRule="auto"/>
        <w:rPr>
          <w:rFonts w:cs="Arial"/>
          <w:bCs/>
          <w:lang w:val="nl-NL"/>
        </w:rPr>
      </w:pPr>
      <w:hyperlink r:id="rId7" w:history="1">
        <w:r w:rsidRPr="00305DAA">
          <w:rPr>
            <w:rStyle w:val="Hiperhivatkozs"/>
            <w:rFonts w:cs="Arial"/>
            <w:bCs/>
            <w:lang w:val="nl-NL"/>
          </w:rPr>
          <w:t>https://doi.org/10.1556/2006.2023.00015</w:t>
        </w:r>
      </w:hyperlink>
      <w:r w:rsidRPr="00305DAA">
        <w:rPr>
          <w:rFonts w:cs="Arial"/>
          <w:bCs/>
          <w:lang w:val="nl-NL"/>
        </w:rPr>
        <w:t xml:space="preserve"> </w:t>
      </w:r>
    </w:p>
    <w:p w14:paraId="2B7153FF" w14:textId="77777777" w:rsidR="00AA6DB0" w:rsidRPr="000E0806" w:rsidRDefault="000E0806" w:rsidP="00E9319E">
      <w:pPr>
        <w:spacing w:after="120" w:line="480" w:lineRule="auto"/>
        <w:rPr>
          <w:rFonts w:cs="Arial"/>
          <w:b/>
          <w:sz w:val="28"/>
          <w:szCs w:val="22"/>
        </w:rPr>
      </w:pPr>
      <w:r w:rsidRPr="00D80AFD">
        <w:rPr>
          <w:rFonts w:cs="Arial"/>
          <w:b/>
          <w:sz w:val="22"/>
          <w:szCs w:val="22"/>
        </w:rPr>
        <w:br w:type="column"/>
      </w:r>
      <w:r w:rsidR="00AA6DB0" w:rsidRPr="000E0806">
        <w:rPr>
          <w:rFonts w:cs="Arial"/>
          <w:b/>
          <w:sz w:val="28"/>
          <w:szCs w:val="22"/>
        </w:rPr>
        <w:lastRenderedPageBreak/>
        <w:t xml:space="preserve">Supplementary Methods </w:t>
      </w:r>
    </w:p>
    <w:p w14:paraId="75D1DFCB" w14:textId="77777777" w:rsidR="00433E00" w:rsidRPr="00E9319E" w:rsidRDefault="000F2688" w:rsidP="00E9319E">
      <w:pPr>
        <w:spacing w:after="120" w:line="480" w:lineRule="auto"/>
        <w:rPr>
          <w:rFonts w:cs="Arial"/>
          <w:b/>
          <w:sz w:val="22"/>
          <w:szCs w:val="22"/>
        </w:rPr>
      </w:pPr>
      <w:r w:rsidRPr="00E9319E">
        <w:rPr>
          <w:rFonts w:cs="Arial"/>
          <w:b/>
          <w:sz w:val="22"/>
          <w:szCs w:val="22"/>
          <w:u w:val="single"/>
        </w:rPr>
        <w:t>Study 1</w:t>
      </w:r>
    </w:p>
    <w:p w14:paraId="58A5D19C" w14:textId="77777777" w:rsidR="000F2688" w:rsidRPr="00E9319E" w:rsidRDefault="000F2688" w:rsidP="00E9319E">
      <w:pPr>
        <w:spacing w:after="120" w:line="480" w:lineRule="auto"/>
        <w:rPr>
          <w:rFonts w:cs="Arial"/>
          <w:b/>
          <w:sz w:val="22"/>
          <w:szCs w:val="22"/>
        </w:rPr>
      </w:pPr>
      <w:r w:rsidRPr="00E9319E">
        <w:rPr>
          <w:rFonts w:cs="Arial"/>
          <w:b/>
          <w:sz w:val="22"/>
          <w:szCs w:val="22"/>
        </w:rPr>
        <w:t>Participants</w:t>
      </w:r>
    </w:p>
    <w:p w14:paraId="2A598E77" w14:textId="77777777" w:rsidR="00365B0D" w:rsidRPr="00E9319E" w:rsidRDefault="00AA6DB0" w:rsidP="00365B0D">
      <w:pPr>
        <w:spacing w:after="120" w:line="480" w:lineRule="auto"/>
        <w:rPr>
          <w:sz w:val="22"/>
          <w:szCs w:val="22"/>
        </w:rPr>
      </w:pPr>
      <w:r w:rsidRPr="00E9319E">
        <w:rPr>
          <w:rFonts w:cs="Arial"/>
          <w:sz w:val="22"/>
          <w:szCs w:val="22"/>
        </w:rPr>
        <w:t xml:space="preserve">Initially, a total of 51 recently detoxified patients with AUD and 32 </w:t>
      </w:r>
      <w:r w:rsidRPr="00E9319E">
        <w:rPr>
          <w:sz w:val="22"/>
          <w:szCs w:val="22"/>
        </w:rPr>
        <w:t xml:space="preserve">matched </w:t>
      </w:r>
      <w:r w:rsidRPr="00E9319E">
        <w:rPr>
          <w:rFonts w:cs="Arial"/>
          <w:sz w:val="22"/>
          <w:szCs w:val="22"/>
        </w:rPr>
        <w:t xml:space="preserve">controls </w:t>
      </w:r>
      <w:r w:rsidRPr="00E9319E">
        <w:rPr>
          <w:rFonts w:cs="Arial"/>
          <w:noProof/>
          <w:sz w:val="22"/>
          <w:szCs w:val="22"/>
        </w:rPr>
        <w:t>were recruited</w:t>
      </w:r>
      <w:r w:rsidRPr="00E9319E">
        <w:rPr>
          <w:rFonts w:cs="Arial"/>
          <w:sz w:val="22"/>
          <w:szCs w:val="22"/>
        </w:rPr>
        <w:t xml:space="preserve"> for this study. </w:t>
      </w:r>
      <w:r w:rsidR="00365B0D" w:rsidRPr="00E9319E">
        <w:rPr>
          <w:sz w:val="22"/>
          <w:szCs w:val="22"/>
        </w:rPr>
        <w:t xml:space="preserve">Five participants (three AUD patients and two controls) were excluded after participation because of excessive motion (&gt;3.5mm/degrees movement from reference scan), and another two AUD patients due to scanner failure. </w:t>
      </w:r>
    </w:p>
    <w:p w14:paraId="1815F96E" w14:textId="77777777" w:rsidR="006F5C39" w:rsidRPr="00E9319E" w:rsidRDefault="00AA6DB0" w:rsidP="00E9319E">
      <w:pPr>
        <w:spacing w:after="120" w:line="480" w:lineRule="auto"/>
        <w:rPr>
          <w:rFonts w:cs="Arial"/>
          <w:sz w:val="22"/>
          <w:szCs w:val="22"/>
        </w:rPr>
      </w:pPr>
      <w:r w:rsidRPr="00E9319E">
        <w:rPr>
          <w:sz w:val="22"/>
          <w:szCs w:val="22"/>
        </w:rPr>
        <w:t>The</w:t>
      </w:r>
      <w:r w:rsidRPr="00E9319E">
        <w:rPr>
          <w:rFonts w:cs="Arial"/>
          <w:sz w:val="22"/>
          <w:szCs w:val="22"/>
        </w:rPr>
        <w:t xml:space="preserve"> relatively large AUD group was included to study the </w:t>
      </w:r>
      <w:r w:rsidR="003D6D2B">
        <w:rPr>
          <w:rFonts w:cs="Arial"/>
          <w:sz w:val="22"/>
          <w:szCs w:val="22"/>
        </w:rPr>
        <w:t>association</w:t>
      </w:r>
      <w:r w:rsidRPr="00E9319E">
        <w:rPr>
          <w:rFonts w:cs="Arial"/>
          <w:sz w:val="22"/>
          <w:szCs w:val="22"/>
        </w:rPr>
        <w:t xml:space="preserve"> between striatal dysfunction and individual variation in AUD severity, lifetime alcohol use, craving, </w:t>
      </w:r>
      <w:proofErr w:type="gramStart"/>
      <w:r w:rsidRPr="00E9319E">
        <w:rPr>
          <w:rFonts w:cs="Arial"/>
          <w:sz w:val="22"/>
          <w:szCs w:val="22"/>
        </w:rPr>
        <w:t>abstinence</w:t>
      </w:r>
      <w:proofErr w:type="gramEnd"/>
      <w:r w:rsidRPr="00E9319E">
        <w:rPr>
          <w:rFonts w:cs="Arial"/>
          <w:sz w:val="22"/>
          <w:szCs w:val="22"/>
        </w:rPr>
        <w:t xml:space="preserve"> and relapse. </w:t>
      </w:r>
      <w:r w:rsidR="005C0024" w:rsidRPr="00E9319E">
        <w:rPr>
          <w:rFonts w:cs="Arial"/>
          <w:sz w:val="22"/>
          <w:szCs w:val="22"/>
        </w:rPr>
        <w:t>O</w:t>
      </w:r>
      <w:r w:rsidRPr="00E9319E">
        <w:rPr>
          <w:rFonts w:cs="Arial"/>
          <w:sz w:val="22"/>
          <w:szCs w:val="22"/>
        </w:rPr>
        <w:t xml:space="preserve">ur study was </w:t>
      </w:r>
      <w:r w:rsidR="005C0024" w:rsidRPr="00E9319E">
        <w:rPr>
          <w:rFonts w:cs="Arial"/>
          <w:sz w:val="22"/>
          <w:szCs w:val="22"/>
        </w:rPr>
        <w:t xml:space="preserve">originally </w:t>
      </w:r>
      <w:r w:rsidRPr="00E9319E">
        <w:rPr>
          <w:rFonts w:cs="Arial"/>
          <w:sz w:val="22"/>
          <w:szCs w:val="22"/>
        </w:rPr>
        <w:t xml:space="preserve">designed to include and compare a non-chronic (&lt;2 years AUD history; &lt;2 treatments) and chronic (&gt;7 years AUD history; &gt;3 treatments) AUD group. However, recruiting patients meeting these exact (arbitrary) cut-offs for AUD history and number of treatments was untenable. Therefore, the AUD criteria were changed during the study to include a broad range in years of AUD history, number of treatments and lifetime alcohol intake. This facilitated the investigation of chronicity by looking at severity and duration of AUD within the patient group. </w:t>
      </w:r>
    </w:p>
    <w:p w14:paraId="2E0E15DB" w14:textId="77777777" w:rsidR="00AA6DB0" w:rsidRPr="00E9319E" w:rsidRDefault="00AA6DB0" w:rsidP="00E9319E">
      <w:pPr>
        <w:spacing w:after="120" w:line="480" w:lineRule="auto"/>
        <w:rPr>
          <w:sz w:val="22"/>
          <w:szCs w:val="22"/>
        </w:rPr>
      </w:pPr>
      <w:r w:rsidRPr="00E9319E">
        <w:rPr>
          <w:rFonts w:cs="Arial"/>
          <w:b/>
          <w:sz w:val="22"/>
          <w:szCs w:val="22"/>
        </w:rPr>
        <w:t>Exclusion criteria</w:t>
      </w:r>
      <w:r w:rsidRPr="00E9319E">
        <w:rPr>
          <w:rFonts w:cs="Arial"/>
          <w:sz w:val="22"/>
          <w:szCs w:val="22"/>
        </w:rPr>
        <w:t xml:space="preserve">: </w:t>
      </w:r>
      <w:r w:rsidR="0046559B" w:rsidRPr="00E9319E">
        <w:rPr>
          <w:rFonts w:cs="Arial"/>
          <w:sz w:val="22"/>
          <w:szCs w:val="22"/>
        </w:rPr>
        <w:t xml:space="preserve">being younger than 18 or older than 65 years; </w:t>
      </w:r>
      <w:r w:rsidRPr="00E9319E">
        <w:rPr>
          <w:rFonts w:cs="Arial"/>
          <w:sz w:val="22"/>
          <w:szCs w:val="22"/>
        </w:rPr>
        <w:t>lifetime history of bipolar disorder, anxiety disorder, obsessive-compulsive disorder or schizophrenia; past 6-month history of major depressive episode; current or past-year substance use disorder or current psychiatric treatment (except for AUD in the AUD patient group); the use of any psychotropic medication; positive breathalyzer test (alcohol) or urinalysis (benzodiazepines, (meth)amphetamines, opioids, cocaine, ecstasy, PCP, methadone or cannabis); history or current treatment for neurological disorders; major physical disorders; history of brain trauma; or any contraindications for MRI.</w:t>
      </w:r>
      <w:r w:rsidRPr="00E9319E">
        <w:rPr>
          <w:sz w:val="22"/>
          <w:szCs w:val="22"/>
        </w:rPr>
        <w:t xml:space="preserve"> </w:t>
      </w:r>
      <w:r w:rsidR="006F5C39" w:rsidRPr="00E9319E">
        <w:rPr>
          <w:sz w:val="22"/>
          <w:szCs w:val="22"/>
        </w:rPr>
        <w:t xml:space="preserve">Controls were excluded if they scored higher than 7 on the Dutch Alcohol Use Disorder Identification Test (AUDIT: </w:t>
      </w:r>
      <w:r w:rsidR="006F5C39" w:rsidRPr="00E9319E">
        <w:rPr>
          <w:sz w:val="22"/>
          <w:szCs w:val="22"/>
        </w:rPr>
        <w:fldChar w:fldCharType="begin" w:fldLock="1"/>
      </w:r>
      <w:r w:rsidR="00E1002C">
        <w:rPr>
          <w:sz w:val="22"/>
          <w:szCs w:val="22"/>
        </w:rPr>
        <w:instrText>ADDIN CSL_CITATION {"citationItems":[{"id":"ITEM-1","itemData":{"ISSN":"0965-2140","PMID":"8329970","abstract":"The Alcohol Use Disorders Identification Test (AUDIT) has been developed from a six-country WHO collaborative project as a screening instrument for hazardous and harmful alcohol consumption. It is a 10-item questionnaire which covers the domains of alcohol consumption, drinking behaviour, and alcohol-related problems. Questions were selected from a 150-item assessment schedule (which was administered to 1888 persons attending representative primary health care facilities) on the basis of their representativeness for these conceptual domains and their perceived usefulness for intervention. Responses to each question are scored from 0 to 4, giving a maximum possible score of 40. Among those diagnosed as having hazardous or harmful alcohol use, 92% had an AUDIT score of 8 or more, and 94% of those with non-hazardous consumption had a score of less than 8. AUDIT provides a simple method of early detection of hazardous and harmful alcohol use in primary health care settings and is the first instrument of its type to be derived on the basis of a cross-national study.","author":[{"dropping-particle":"","family":"Saunders","given":"JB B","non-dropping-particle":"","parse-names":false,"suffix":""},{"dropping-particle":"","family":"Aasland","given":"OG G","non-dropping-particle":"","parse-names":false,"suffix":""},{"dropping-particle":"","family":"Babor","given":"Thomas F","non-dropping-particle":"","parse-names":false,"suffix":""},{"dropping-particle":"","family":"la Fuente","given":"J R","non-dropping-particle":"de","parse-names":false,"suffix":""},{"dropping-particle":"","family":"Grant","given":"M","non-dropping-particle":"","parse-names":false,"suffix":""}],"container-title":"Addiction (Abingdon, England)","id":"ITEM-1","issue":"6","issued":{"date-parts":[["1993","6"]]},"page":"791-804","title":"Development of the Alcohol Use Disorders Identification Test (AUDIT): WHO Collaborative Project on Early Detection of Persons with Harmful Alcohol Consumption--II.","type":"article-journal","volume":"88"},"uris":["http://www.mendeley.com/documents/?uuid=fd78f394-4774-4c18-8932-d34c6034bfeb"]}],"mendeley":{"formattedCitation":"(Saunders, Aasland, Babor, de la Fuente, &amp; Grant, 1993)","manualFormatting":"Saunders, Aasland, Babor, de la Fuente, &amp; Grant, 1993)","plainTextFormattedCitation":"(Saunders, Aasland, Babor, de la Fuente, &amp; Grant, 1993)","previouslyFormattedCitation":"(Saunders, Aasland, Babor, de la Fuente, &amp; Grant, 1993)"},"properties":{"noteIndex":0},"schema":"https://github.com/citation-style-language/schema/raw/master/csl-citation.json"}</w:instrText>
      </w:r>
      <w:r w:rsidR="006F5C39" w:rsidRPr="00E9319E">
        <w:rPr>
          <w:sz w:val="22"/>
          <w:szCs w:val="22"/>
        </w:rPr>
        <w:fldChar w:fldCharType="separate"/>
      </w:r>
      <w:r w:rsidR="006F5C39" w:rsidRPr="00E9319E">
        <w:rPr>
          <w:noProof/>
          <w:sz w:val="22"/>
          <w:szCs w:val="22"/>
        </w:rPr>
        <w:t>Saunders, Aasland, Babor, de la Fuente, &amp; Grant, 1993)</w:t>
      </w:r>
      <w:r w:rsidR="006F5C39" w:rsidRPr="00E9319E">
        <w:rPr>
          <w:sz w:val="22"/>
          <w:szCs w:val="22"/>
        </w:rPr>
        <w:fldChar w:fldCharType="end"/>
      </w:r>
      <w:r w:rsidR="006F5C39" w:rsidRPr="00E9319E">
        <w:rPr>
          <w:sz w:val="22"/>
          <w:szCs w:val="22"/>
        </w:rPr>
        <w:t xml:space="preserve">. </w:t>
      </w:r>
    </w:p>
    <w:p w14:paraId="25D6E77B" w14:textId="77777777" w:rsidR="00AA6DB0" w:rsidRPr="00E9319E" w:rsidRDefault="00AA6DB0" w:rsidP="00E9319E">
      <w:pPr>
        <w:spacing w:after="120" w:line="480" w:lineRule="auto"/>
        <w:rPr>
          <w:sz w:val="22"/>
          <w:szCs w:val="22"/>
        </w:rPr>
      </w:pPr>
      <w:r w:rsidRPr="00E9319E">
        <w:rPr>
          <w:sz w:val="22"/>
          <w:szCs w:val="22"/>
        </w:rPr>
        <w:lastRenderedPageBreak/>
        <w:t xml:space="preserve">One AUD patient had a positive urine screen for MDMA; the subject declared that use was &gt;1 week ago and he did not use regularly. The absence of (a history of) dependence was further verified by the psychiatric interview, and the subject was included in the analyses. </w:t>
      </w:r>
    </w:p>
    <w:tbl>
      <w:tblPr>
        <w:tblW w:w="8935" w:type="dxa"/>
        <w:tblInd w:w="93" w:type="dxa"/>
        <w:tblLook w:val="04A0" w:firstRow="1" w:lastRow="0" w:firstColumn="1" w:lastColumn="0" w:noHBand="0" w:noVBand="1"/>
      </w:tblPr>
      <w:tblGrid>
        <w:gridCol w:w="3828"/>
        <w:gridCol w:w="1512"/>
        <w:gridCol w:w="1403"/>
        <w:gridCol w:w="863"/>
        <w:gridCol w:w="233"/>
        <w:gridCol w:w="863"/>
        <w:gridCol w:w="233"/>
      </w:tblGrid>
      <w:tr w:rsidR="008307FD" w:rsidRPr="008307FD" w14:paraId="43EA8DC3" w14:textId="77777777" w:rsidTr="00D54C59">
        <w:trPr>
          <w:gridAfter w:val="1"/>
          <w:wAfter w:w="233" w:type="dxa"/>
          <w:trHeight w:val="233"/>
        </w:trPr>
        <w:tc>
          <w:tcPr>
            <w:tcW w:w="7606" w:type="dxa"/>
            <w:gridSpan w:val="4"/>
            <w:tcBorders>
              <w:top w:val="nil"/>
              <w:left w:val="nil"/>
              <w:bottom w:val="single" w:sz="4" w:space="0" w:color="auto"/>
              <w:right w:val="nil"/>
            </w:tcBorders>
            <w:shd w:val="clear" w:color="auto" w:fill="auto"/>
            <w:noWrap/>
            <w:vAlign w:val="bottom"/>
          </w:tcPr>
          <w:p w14:paraId="4408306C" w14:textId="77777777" w:rsidR="008307FD" w:rsidRPr="008307FD" w:rsidRDefault="008307FD" w:rsidP="002635E3">
            <w:pPr>
              <w:spacing w:line="360" w:lineRule="auto"/>
              <w:jc w:val="both"/>
              <w:rPr>
                <w:rFonts w:eastAsia="Times New Roman" w:cs="Calibri"/>
                <w:b/>
                <w:bCs/>
                <w:color w:val="000000"/>
                <w:sz w:val="22"/>
                <w:szCs w:val="22"/>
              </w:rPr>
            </w:pPr>
            <w:r w:rsidRPr="008307FD">
              <w:rPr>
                <w:rFonts w:eastAsia="Times New Roman" w:cs="Calibri"/>
                <w:b/>
                <w:bCs/>
                <w:color w:val="000000"/>
                <w:sz w:val="22"/>
                <w:szCs w:val="22"/>
              </w:rPr>
              <w:t>Supplementary</w:t>
            </w:r>
            <w:r w:rsidRPr="008307FD">
              <w:rPr>
                <w:rFonts w:eastAsia="Times New Roman" w:cs="Calibri"/>
                <w:b/>
                <w:bCs/>
                <w:i/>
                <w:iCs/>
                <w:color w:val="000000"/>
                <w:sz w:val="22"/>
                <w:szCs w:val="22"/>
              </w:rPr>
              <w:t xml:space="preserve"> </w:t>
            </w:r>
            <w:r w:rsidRPr="008307FD">
              <w:rPr>
                <w:rFonts w:eastAsia="Times New Roman" w:cs="Calibri"/>
                <w:b/>
                <w:bCs/>
                <w:color w:val="000000"/>
                <w:sz w:val="22"/>
                <w:szCs w:val="22"/>
              </w:rPr>
              <w:t xml:space="preserve">Table 1. </w:t>
            </w:r>
          </w:p>
        </w:tc>
        <w:tc>
          <w:tcPr>
            <w:tcW w:w="1096" w:type="dxa"/>
            <w:gridSpan w:val="2"/>
            <w:tcBorders>
              <w:top w:val="nil"/>
              <w:left w:val="nil"/>
              <w:bottom w:val="single" w:sz="4" w:space="0" w:color="auto"/>
              <w:right w:val="nil"/>
            </w:tcBorders>
          </w:tcPr>
          <w:p w14:paraId="0A37501D" w14:textId="77777777" w:rsidR="008307FD" w:rsidRPr="008307FD" w:rsidRDefault="008307FD" w:rsidP="002635E3">
            <w:pPr>
              <w:spacing w:line="360" w:lineRule="auto"/>
              <w:jc w:val="both"/>
              <w:rPr>
                <w:rFonts w:eastAsia="Times New Roman" w:cs="Calibri"/>
                <w:b/>
                <w:bCs/>
                <w:color w:val="000000"/>
                <w:sz w:val="22"/>
                <w:szCs w:val="22"/>
              </w:rPr>
            </w:pPr>
          </w:p>
        </w:tc>
      </w:tr>
      <w:tr w:rsidR="008307FD" w:rsidRPr="008307FD" w14:paraId="49BF70E5" w14:textId="77777777" w:rsidTr="00D54C59">
        <w:trPr>
          <w:trHeight w:val="340"/>
        </w:trPr>
        <w:tc>
          <w:tcPr>
            <w:tcW w:w="3828" w:type="dxa"/>
            <w:tcBorders>
              <w:top w:val="single" w:sz="4" w:space="0" w:color="auto"/>
              <w:left w:val="nil"/>
              <w:bottom w:val="single" w:sz="4" w:space="0" w:color="auto"/>
              <w:right w:val="nil"/>
            </w:tcBorders>
            <w:shd w:val="clear" w:color="auto" w:fill="auto"/>
            <w:noWrap/>
            <w:vAlign w:val="center"/>
            <w:hideMark/>
          </w:tcPr>
          <w:p w14:paraId="5DAB6C7B" w14:textId="77777777" w:rsidR="008307FD" w:rsidRPr="008307FD" w:rsidRDefault="008307FD" w:rsidP="002635E3">
            <w:pPr>
              <w:spacing w:before="60" w:after="60" w:line="360" w:lineRule="auto"/>
              <w:jc w:val="both"/>
              <w:rPr>
                <w:rFonts w:eastAsia="Times New Roman" w:cs="Calibri"/>
                <w:b/>
                <w:bCs/>
                <w:color w:val="000000"/>
                <w:sz w:val="22"/>
                <w:szCs w:val="22"/>
              </w:rPr>
            </w:pPr>
          </w:p>
        </w:tc>
        <w:tc>
          <w:tcPr>
            <w:tcW w:w="1512" w:type="dxa"/>
            <w:tcBorders>
              <w:top w:val="single" w:sz="4" w:space="0" w:color="auto"/>
              <w:left w:val="nil"/>
              <w:bottom w:val="single" w:sz="4" w:space="0" w:color="auto"/>
              <w:right w:val="nil"/>
            </w:tcBorders>
            <w:shd w:val="clear" w:color="auto" w:fill="auto"/>
            <w:noWrap/>
            <w:vAlign w:val="center"/>
            <w:hideMark/>
          </w:tcPr>
          <w:p w14:paraId="59009573" w14:textId="77777777" w:rsidR="008307FD" w:rsidRPr="008307FD" w:rsidRDefault="008307FD" w:rsidP="002635E3">
            <w:pPr>
              <w:spacing w:before="60" w:after="60" w:line="360" w:lineRule="auto"/>
              <w:jc w:val="both"/>
              <w:rPr>
                <w:rFonts w:eastAsia="Times New Roman" w:cs="Calibri"/>
                <w:b/>
                <w:bCs/>
                <w:color w:val="000000"/>
                <w:sz w:val="22"/>
                <w:szCs w:val="22"/>
              </w:rPr>
            </w:pPr>
            <w:r w:rsidRPr="008307FD">
              <w:rPr>
                <w:rFonts w:eastAsia="Times New Roman" w:cs="Calibri"/>
                <w:b/>
                <w:bCs/>
                <w:color w:val="000000"/>
                <w:sz w:val="22"/>
                <w:szCs w:val="22"/>
              </w:rPr>
              <w:t>AUD (n=46)</w:t>
            </w:r>
          </w:p>
          <w:p w14:paraId="170DAF07" w14:textId="77777777" w:rsidR="008307FD" w:rsidRPr="008307FD" w:rsidRDefault="008307FD" w:rsidP="002635E3">
            <w:pPr>
              <w:spacing w:before="60" w:after="60" w:line="360" w:lineRule="auto"/>
              <w:jc w:val="both"/>
              <w:rPr>
                <w:rFonts w:eastAsia="Times New Roman" w:cs="Calibri"/>
                <w:bCs/>
                <w:i/>
                <w:color w:val="000000"/>
                <w:sz w:val="22"/>
                <w:szCs w:val="22"/>
              </w:rPr>
            </w:pPr>
            <w:r w:rsidRPr="008307FD">
              <w:rPr>
                <w:rFonts w:eastAsia="Times New Roman" w:cs="Calibri"/>
                <w:bCs/>
                <w:i/>
                <w:color w:val="000000"/>
                <w:sz w:val="22"/>
                <w:szCs w:val="22"/>
              </w:rPr>
              <w:t>Mean (SD)</w:t>
            </w:r>
          </w:p>
        </w:tc>
        <w:tc>
          <w:tcPr>
            <w:tcW w:w="1403" w:type="dxa"/>
            <w:tcBorders>
              <w:top w:val="single" w:sz="4" w:space="0" w:color="auto"/>
              <w:left w:val="nil"/>
              <w:bottom w:val="single" w:sz="4" w:space="0" w:color="auto"/>
              <w:right w:val="nil"/>
            </w:tcBorders>
            <w:shd w:val="clear" w:color="auto" w:fill="auto"/>
            <w:noWrap/>
            <w:vAlign w:val="center"/>
            <w:hideMark/>
          </w:tcPr>
          <w:p w14:paraId="1649252B" w14:textId="77777777" w:rsidR="008307FD" w:rsidRPr="008307FD" w:rsidRDefault="008307FD" w:rsidP="002635E3">
            <w:pPr>
              <w:spacing w:before="60" w:after="60" w:line="360" w:lineRule="auto"/>
              <w:jc w:val="both"/>
              <w:rPr>
                <w:rFonts w:eastAsia="Times New Roman" w:cs="Calibri"/>
                <w:b/>
                <w:bCs/>
                <w:color w:val="000000"/>
                <w:sz w:val="22"/>
                <w:szCs w:val="22"/>
              </w:rPr>
            </w:pPr>
            <w:r w:rsidRPr="008307FD">
              <w:rPr>
                <w:rFonts w:eastAsia="Times New Roman" w:cs="Calibri"/>
                <w:b/>
                <w:bCs/>
                <w:color w:val="000000"/>
                <w:sz w:val="22"/>
                <w:szCs w:val="22"/>
              </w:rPr>
              <w:t>HC (n=30)</w:t>
            </w:r>
          </w:p>
          <w:p w14:paraId="67869062" w14:textId="77777777" w:rsidR="008307FD" w:rsidRPr="008307FD" w:rsidRDefault="008307FD" w:rsidP="002635E3">
            <w:pPr>
              <w:spacing w:before="60" w:after="60" w:line="360" w:lineRule="auto"/>
              <w:jc w:val="both"/>
              <w:rPr>
                <w:rFonts w:eastAsia="Times New Roman" w:cs="Calibri"/>
                <w:bCs/>
                <w:i/>
                <w:color w:val="000000"/>
                <w:sz w:val="22"/>
                <w:szCs w:val="22"/>
              </w:rPr>
            </w:pPr>
            <w:r w:rsidRPr="008307FD">
              <w:rPr>
                <w:rFonts w:eastAsia="Times New Roman" w:cs="Calibri"/>
                <w:bCs/>
                <w:i/>
                <w:color w:val="000000"/>
                <w:sz w:val="22"/>
                <w:szCs w:val="22"/>
              </w:rPr>
              <w:t>Mean (SD)</w:t>
            </w:r>
          </w:p>
        </w:tc>
        <w:tc>
          <w:tcPr>
            <w:tcW w:w="1096" w:type="dxa"/>
            <w:gridSpan w:val="2"/>
            <w:tcBorders>
              <w:top w:val="single" w:sz="4" w:space="0" w:color="auto"/>
              <w:left w:val="nil"/>
              <w:bottom w:val="single" w:sz="4" w:space="0" w:color="auto"/>
              <w:right w:val="nil"/>
            </w:tcBorders>
            <w:shd w:val="clear" w:color="auto" w:fill="auto"/>
            <w:noWrap/>
            <w:vAlign w:val="bottom"/>
            <w:hideMark/>
          </w:tcPr>
          <w:p w14:paraId="0FB1D283" w14:textId="77777777" w:rsidR="008307FD" w:rsidRPr="008307FD" w:rsidRDefault="008307FD" w:rsidP="002635E3">
            <w:pPr>
              <w:spacing w:before="60" w:after="60" w:line="360" w:lineRule="auto"/>
              <w:jc w:val="both"/>
              <w:rPr>
                <w:rFonts w:eastAsia="Times New Roman" w:cs="Calibri"/>
                <w:bCs/>
                <w:i/>
                <w:color w:val="000000"/>
                <w:sz w:val="22"/>
                <w:szCs w:val="22"/>
              </w:rPr>
            </w:pPr>
            <w:r w:rsidRPr="008307FD">
              <w:rPr>
                <w:rFonts w:eastAsia="Times New Roman" w:cs="Calibri"/>
                <w:bCs/>
                <w:i/>
                <w:color w:val="000000"/>
                <w:sz w:val="22"/>
                <w:szCs w:val="22"/>
              </w:rPr>
              <w:t>p value</w:t>
            </w:r>
          </w:p>
        </w:tc>
        <w:tc>
          <w:tcPr>
            <w:tcW w:w="1096" w:type="dxa"/>
            <w:gridSpan w:val="2"/>
            <w:tcBorders>
              <w:top w:val="single" w:sz="4" w:space="0" w:color="auto"/>
              <w:left w:val="nil"/>
              <w:bottom w:val="single" w:sz="4" w:space="0" w:color="auto"/>
              <w:right w:val="nil"/>
            </w:tcBorders>
          </w:tcPr>
          <w:p w14:paraId="02EB378F" w14:textId="77777777" w:rsidR="008307FD" w:rsidRPr="008307FD" w:rsidRDefault="008307FD" w:rsidP="002635E3">
            <w:pPr>
              <w:spacing w:before="60" w:after="60" w:line="360" w:lineRule="auto"/>
              <w:jc w:val="both"/>
              <w:rPr>
                <w:rFonts w:eastAsia="Times New Roman" w:cs="Calibri"/>
                <w:bCs/>
                <w:i/>
                <w:color w:val="000000"/>
                <w:sz w:val="22"/>
                <w:szCs w:val="22"/>
              </w:rPr>
            </w:pPr>
          </w:p>
          <w:p w14:paraId="0469A017" w14:textId="77777777" w:rsidR="008307FD" w:rsidRPr="008307FD" w:rsidRDefault="008307FD" w:rsidP="002635E3">
            <w:pPr>
              <w:spacing w:before="60" w:after="60" w:line="360" w:lineRule="auto"/>
              <w:jc w:val="both"/>
              <w:rPr>
                <w:rFonts w:eastAsia="Times New Roman" w:cs="Calibri"/>
                <w:bCs/>
                <w:i/>
                <w:color w:val="000000"/>
                <w:sz w:val="22"/>
                <w:szCs w:val="22"/>
              </w:rPr>
            </w:pPr>
            <w:r w:rsidRPr="008307FD">
              <w:rPr>
                <w:rFonts w:eastAsia="Times New Roman" w:cs="Calibri"/>
                <w:bCs/>
                <w:i/>
                <w:color w:val="000000"/>
                <w:sz w:val="22"/>
                <w:szCs w:val="22"/>
              </w:rPr>
              <w:t>BF</w:t>
            </w:r>
            <w:r w:rsidRPr="008307FD">
              <w:rPr>
                <w:rFonts w:eastAsia="Times New Roman" w:cs="Calibri"/>
                <w:bCs/>
                <w:i/>
                <w:color w:val="000000"/>
                <w:sz w:val="22"/>
                <w:szCs w:val="22"/>
                <w:vertAlign w:val="subscript"/>
              </w:rPr>
              <w:t>10</w:t>
            </w:r>
          </w:p>
        </w:tc>
      </w:tr>
      <w:tr w:rsidR="008307FD" w:rsidRPr="008307FD" w14:paraId="3F51AB7E" w14:textId="77777777" w:rsidTr="00D54C59">
        <w:trPr>
          <w:trHeight w:val="300"/>
        </w:trPr>
        <w:tc>
          <w:tcPr>
            <w:tcW w:w="3828" w:type="dxa"/>
            <w:tcBorders>
              <w:top w:val="single" w:sz="4" w:space="0" w:color="auto"/>
              <w:left w:val="nil"/>
              <w:bottom w:val="nil"/>
              <w:right w:val="nil"/>
            </w:tcBorders>
            <w:shd w:val="clear" w:color="auto" w:fill="auto"/>
            <w:noWrap/>
            <w:vAlign w:val="bottom"/>
            <w:hideMark/>
          </w:tcPr>
          <w:p w14:paraId="00230123" w14:textId="77777777" w:rsidR="008307FD" w:rsidRPr="008307FD" w:rsidRDefault="008307FD" w:rsidP="002635E3">
            <w:pPr>
              <w:spacing w:before="120" w:line="360" w:lineRule="auto"/>
              <w:jc w:val="both"/>
              <w:rPr>
                <w:rFonts w:eastAsia="Times New Roman" w:cs="Calibri"/>
                <w:color w:val="000000"/>
                <w:sz w:val="22"/>
                <w:szCs w:val="22"/>
              </w:rPr>
            </w:pPr>
            <w:r w:rsidRPr="008307FD">
              <w:rPr>
                <w:rFonts w:eastAsia="Times New Roman" w:cs="Calibri"/>
                <w:color w:val="000000"/>
                <w:sz w:val="22"/>
                <w:szCs w:val="22"/>
              </w:rPr>
              <w:t>Age, years</w:t>
            </w:r>
          </w:p>
        </w:tc>
        <w:tc>
          <w:tcPr>
            <w:tcW w:w="1512" w:type="dxa"/>
            <w:tcBorders>
              <w:top w:val="single" w:sz="4" w:space="0" w:color="auto"/>
              <w:left w:val="nil"/>
              <w:bottom w:val="nil"/>
              <w:right w:val="nil"/>
            </w:tcBorders>
            <w:shd w:val="clear" w:color="auto" w:fill="auto"/>
            <w:noWrap/>
            <w:vAlign w:val="bottom"/>
          </w:tcPr>
          <w:p w14:paraId="7AAB844C" w14:textId="77777777" w:rsidR="008307FD" w:rsidRPr="008307FD" w:rsidRDefault="008307FD" w:rsidP="002635E3">
            <w:pPr>
              <w:spacing w:before="120" w:line="360" w:lineRule="auto"/>
              <w:jc w:val="both"/>
              <w:rPr>
                <w:rFonts w:eastAsia="Times New Roman" w:cs="Calibri"/>
                <w:color w:val="000000"/>
                <w:sz w:val="22"/>
                <w:szCs w:val="22"/>
              </w:rPr>
            </w:pPr>
            <w:r w:rsidRPr="008307FD">
              <w:rPr>
                <w:rFonts w:eastAsia="Times New Roman" w:cs="Calibri"/>
                <w:color w:val="000000"/>
                <w:sz w:val="22"/>
                <w:szCs w:val="22"/>
              </w:rPr>
              <w:t>46.5 (10.8)</w:t>
            </w:r>
          </w:p>
        </w:tc>
        <w:tc>
          <w:tcPr>
            <w:tcW w:w="1403" w:type="dxa"/>
            <w:tcBorders>
              <w:top w:val="single" w:sz="4" w:space="0" w:color="auto"/>
              <w:left w:val="nil"/>
              <w:bottom w:val="nil"/>
              <w:right w:val="nil"/>
            </w:tcBorders>
            <w:shd w:val="clear" w:color="auto" w:fill="auto"/>
            <w:noWrap/>
            <w:vAlign w:val="bottom"/>
          </w:tcPr>
          <w:p w14:paraId="2073344B" w14:textId="77777777" w:rsidR="008307FD" w:rsidRPr="008307FD" w:rsidRDefault="008307FD" w:rsidP="002635E3">
            <w:pPr>
              <w:spacing w:before="120" w:line="360" w:lineRule="auto"/>
              <w:jc w:val="both"/>
              <w:rPr>
                <w:rFonts w:eastAsia="Times New Roman" w:cs="Calibri"/>
                <w:color w:val="000000"/>
                <w:sz w:val="22"/>
                <w:szCs w:val="22"/>
              </w:rPr>
            </w:pPr>
            <w:r w:rsidRPr="008307FD">
              <w:rPr>
                <w:rFonts w:eastAsia="Times New Roman" w:cs="Calibri"/>
                <w:color w:val="000000"/>
                <w:sz w:val="22"/>
                <w:szCs w:val="22"/>
              </w:rPr>
              <w:t>44.8 (9.9)</w:t>
            </w:r>
          </w:p>
        </w:tc>
        <w:tc>
          <w:tcPr>
            <w:tcW w:w="1096" w:type="dxa"/>
            <w:gridSpan w:val="2"/>
            <w:tcBorders>
              <w:top w:val="single" w:sz="4" w:space="0" w:color="auto"/>
              <w:left w:val="nil"/>
              <w:bottom w:val="nil"/>
              <w:right w:val="nil"/>
            </w:tcBorders>
            <w:shd w:val="clear" w:color="auto" w:fill="auto"/>
            <w:noWrap/>
            <w:vAlign w:val="bottom"/>
          </w:tcPr>
          <w:p w14:paraId="75C18BAE" w14:textId="77777777" w:rsidR="008307FD" w:rsidRPr="008307FD" w:rsidRDefault="008307FD" w:rsidP="002635E3">
            <w:pPr>
              <w:spacing w:before="120" w:line="360" w:lineRule="auto"/>
              <w:jc w:val="both"/>
              <w:rPr>
                <w:rFonts w:eastAsia="Times New Roman" w:cs="Calibri"/>
                <w:color w:val="000000"/>
                <w:sz w:val="22"/>
                <w:szCs w:val="22"/>
                <w:vertAlign w:val="superscript"/>
              </w:rPr>
            </w:pPr>
            <w:r w:rsidRPr="008307FD">
              <w:rPr>
                <w:rFonts w:eastAsia="Times New Roman" w:cs="Calibri"/>
                <w:color w:val="000000"/>
                <w:sz w:val="22"/>
                <w:szCs w:val="22"/>
              </w:rPr>
              <w:t>0.48</w:t>
            </w:r>
          </w:p>
        </w:tc>
        <w:tc>
          <w:tcPr>
            <w:tcW w:w="1096" w:type="dxa"/>
            <w:gridSpan w:val="2"/>
            <w:tcBorders>
              <w:top w:val="single" w:sz="4" w:space="0" w:color="auto"/>
              <w:left w:val="nil"/>
              <w:bottom w:val="nil"/>
              <w:right w:val="nil"/>
            </w:tcBorders>
          </w:tcPr>
          <w:p w14:paraId="474F4EC5" w14:textId="77777777" w:rsidR="008307FD" w:rsidRPr="008307FD" w:rsidRDefault="008307FD" w:rsidP="002635E3">
            <w:pPr>
              <w:spacing w:before="120" w:line="360" w:lineRule="auto"/>
              <w:jc w:val="both"/>
              <w:rPr>
                <w:rFonts w:eastAsia="Times New Roman" w:cs="Calibri"/>
                <w:color w:val="000000"/>
                <w:sz w:val="22"/>
                <w:szCs w:val="22"/>
              </w:rPr>
            </w:pPr>
            <w:r w:rsidRPr="008307FD">
              <w:rPr>
                <w:rFonts w:eastAsia="Times New Roman" w:cs="Calibri"/>
                <w:color w:val="000000"/>
                <w:sz w:val="22"/>
                <w:szCs w:val="22"/>
              </w:rPr>
              <w:t>0.30</w:t>
            </w:r>
          </w:p>
        </w:tc>
      </w:tr>
      <w:tr w:rsidR="008307FD" w:rsidRPr="008307FD" w14:paraId="41E18C11" w14:textId="77777777" w:rsidTr="00D54C59">
        <w:trPr>
          <w:trHeight w:val="300"/>
        </w:trPr>
        <w:tc>
          <w:tcPr>
            <w:tcW w:w="3828" w:type="dxa"/>
            <w:tcBorders>
              <w:top w:val="nil"/>
              <w:left w:val="nil"/>
              <w:bottom w:val="nil"/>
              <w:right w:val="nil"/>
            </w:tcBorders>
            <w:shd w:val="clear" w:color="auto" w:fill="auto"/>
            <w:noWrap/>
            <w:vAlign w:val="bottom"/>
            <w:hideMark/>
          </w:tcPr>
          <w:p w14:paraId="367F3908"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Handedness: right / left</w:t>
            </w:r>
          </w:p>
        </w:tc>
        <w:tc>
          <w:tcPr>
            <w:tcW w:w="1512" w:type="dxa"/>
            <w:tcBorders>
              <w:top w:val="nil"/>
              <w:left w:val="nil"/>
              <w:bottom w:val="nil"/>
              <w:right w:val="nil"/>
            </w:tcBorders>
            <w:shd w:val="clear" w:color="auto" w:fill="auto"/>
            <w:noWrap/>
            <w:vAlign w:val="bottom"/>
          </w:tcPr>
          <w:p w14:paraId="352AD83F"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35 / 11</w:t>
            </w:r>
          </w:p>
        </w:tc>
        <w:tc>
          <w:tcPr>
            <w:tcW w:w="1403" w:type="dxa"/>
            <w:tcBorders>
              <w:top w:val="nil"/>
              <w:left w:val="nil"/>
              <w:bottom w:val="nil"/>
              <w:right w:val="nil"/>
            </w:tcBorders>
            <w:shd w:val="clear" w:color="auto" w:fill="auto"/>
            <w:noWrap/>
            <w:vAlign w:val="bottom"/>
          </w:tcPr>
          <w:p w14:paraId="274775C8"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26 / 4</w:t>
            </w:r>
          </w:p>
        </w:tc>
        <w:tc>
          <w:tcPr>
            <w:tcW w:w="1096" w:type="dxa"/>
            <w:gridSpan w:val="2"/>
            <w:tcBorders>
              <w:top w:val="nil"/>
              <w:left w:val="nil"/>
              <w:bottom w:val="nil"/>
              <w:right w:val="nil"/>
            </w:tcBorders>
            <w:shd w:val="clear" w:color="auto" w:fill="auto"/>
            <w:noWrap/>
            <w:vAlign w:val="bottom"/>
          </w:tcPr>
          <w:p w14:paraId="11220AC1"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0.26</w:t>
            </w:r>
            <w:r w:rsidRPr="008307FD">
              <w:rPr>
                <w:rFonts w:eastAsia="Times New Roman" w:cs="Calibri"/>
                <w:color w:val="000000"/>
                <w:sz w:val="22"/>
                <w:szCs w:val="22"/>
                <w:vertAlign w:val="superscript"/>
              </w:rPr>
              <w:t>a</w:t>
            </w:r>
          </w:p>
        </w:tc>
        <w:tc>
          <w:tcPr>
            <w:tcW w:w="1096" w:type="dxa"/>
            <w:gridSpan w:val="2"/>
            <w:tcBorders>
              <w:top w:val="nil"/>
              <w:left w:val="nil"/>
              <w:bottom w:val="nil"/>
              <w:right w:val="nil"/>
            </w:tcBorders>
          </w:tcPr>
          <w:p w14:paraId="7264DAFB" w14:textId="77777777" w:rsidR="008307FD" w:rsidRPr="008307FD" w:rsidRDefault="008307FD" w:rsidP="002635E3">
            <w:pPr>
              <w:spacing w:line="360" w:lineRule="auto"/>
              <w:jc w:val="both"/>
              <w:rPr>
                <w:rFonts w:eastAsia="Times New Roman" w:cs="Calibri"/>
                <w:color w:val="000000"/>
                <w:sz w:val="22"/>
                <w:szCs w:val="22"/>
                <w:vertAlign w:val="superscript"/>
              </w:rPr>
            </w:pPr>
            <w:r w:rsidRPr="008307FD">
              <w:rPr>
                <w:rFonts w:eastAsia="Times New Roman" w:cs="Calibri"/>
                <w:color w:val="000000"/>
                <w:sz w:val="22"/>
                <w:szCs w:val="22"/>
              </w:rPr>
              <w:t>0.58</w:t>
            </w:r>
            <w:r w:rsidRPr="008307FD">
              <w:rPr>
                <w:rFonts w:eastAsia="Times New Roman" w:cs="Calibri"/>
                <w:color w:val="000000"/>
                <w:sz w:val="22"/>
                <w:szCs w:val="22"/>
                <w:vertAlign w:val="superscript"/>
              </w:rPr>
              <w:t>c</w:t>
            </w:r>
          </w:p>
        </w:tc>
      </w:tr>
      <w:tr w:rsidR="008307FD" w:rsidRPr="008307FD" w14:paraId="02E71B3F" w14:textId="77777777" w:rsidTr="00D54C59">
        <w:trPr>
          <w:trHeight w:val="300"/>
        </w:trPr>
        <w:tc>
          <w:tcPr>
            <w:tcW w:w="3828" w:type="dxa"/>
            <w:tcBorders>
              <w:top w:val="nil"/>
              <w:left w:val="nil"/>
              <w:bottom w:val="nil"/>
              <w:right w:val="nil"/>
            </w:tcBorders>
            <w:shd w:val="clear" w:color="auto" w:fill="auto"/>
            <w:noWrap/>
            <w:vAlign w:val="bottom"/>
            <w:hideMark/>
          </w:tcPr>
          <w:p w14:paraId="6C8C056F" w14:textId="77777777" w:rsidR="008307FD" w:rsidRPr="008307FD" w:rsidRDefault="008307FD" w:rsidP="002635E3">
            <w:pPr>
              <w:spacing w:line="360" w:lineRule="auto"/>
              <w:jc w:val="both"/>
              <w:rPr>
                <w:rFonts w:eastAsia="Times New Roman" w:cs="Calibri"/>
                <w:color w:val="000000"/>
                <w:sz w:val="22"/>
                <w:szCs w:val="22"/>
                <w:vertAlign w:val="subscript"/>
              </w:rPr>
            </w:pPr>
            <w:r w:rsidRPr="008307FD">
              <w:rPr>
                <w:rFonts w:eastAsia="Times New Roman" w:cs="Calibri"/>
                <w:color w:val="000000"/>
                <w:sz w:val="22"/>
                <w:szCs w:val="22"/>
              </w:rPr>
              <w:t>Males / females</w:t>
            </w:r>
          </w:p>
        </w:tc>
        <w:tc>
          <w:tcPr>
            <w:tcW w:w="1512" w:type="dxa"/>
            <w:tcBorders>
              <w:top w:val="nil"/>
              <w:left w:val="nil"/>
              <w:bottom w:val="nil"/>
              <w:right w:val="nil"/>
            </w:tcBorders>
            <w:shd w:val="clear" w:color="auto" w:fill="auto"/>
            <w:noWrap/>
            <w:vAlign w:val="bottom"/>
          </w:tcPr>
          <w:p w14:paraId="44679F0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36 / 10</w:t>
            </w:r>
          </w:p>
        </w:tc>
        <w:tc>
          <w:tcPr>
            <w:tcW w:w="1403" w:type="dxa"/>
            <w:tcBorders>
              <w:top w:val="nil"/>
              <w:left w:val="nil"/>
              <w:bottom w:val="nil"/>
              <w:right w:val="nil"/>
            </w:tcBorders>
            <w:shd w:val="clear" w:color="auto" w:fill="auto"/>
            <w:noWrap/>
            <w:vAlign w:val="bottom"/>
          </w:tcPr>
          <w:p w14:paraId="76C91401"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25 / 5</w:t>
            </w:r>
          </w:p>
        </w:tc>
        <w:tc>
          <w:tcPr>
            <w:tcW w:w="1096" w:type="dxa"/>
            <w:gridSpan w:val="2"/>
            <w:tcBorders>
              <w:top w:val="nil"/>
              <w:left w:val="nil"/>
              <w:bottom w:val="nil"/>
              <w:right w:val="nil"/>
            </w:tcBorders>
            <w:shd w:val="clear" w:color="auto" w:fill="auto"/>
            <w:noWrap/>
            <w:vAlign w:val="bottom"/>
          </w:tcPr>
          <w:p w14:paraId="1C616302"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0.59</w:t>
            </w:r>
            <w:r w:rsidRPr="008307FD">
              <w:rPr>
                <w:rFonts w:eastAsia="Times New Roman" w:cs="Calibri"/>
                <w:color w:val="000000"/>
                <w:sz w:val="22"/>
                <w:szCs w:val="22"/>
                <w:vertAlign w:val="superscript"/>
              </w:rPr>
              <w:t>a</w:t>
            </w:r>
          </w:p>
        </w:tc>
        <w:tc>
          <w:tcPr>
            <w:tcW w:w="1096" w:type="dxa"/>
            <w:gridSpan w:val="2"/>
            <w:tcBorders>
              <w:top w:val="nil"/>
              <w:left w:val="nil"/>
              <w:bottom w:val="nil"/>
              <w:right w:val="nil"/>
            </w:tcBorders>
          </w:tcPr>
          <w:p w14:paraId="6D235559"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0.37</w:t>
            </w:r>
            <w:r w:rsidRPr="008307FD">
              <w:rPr>
                <w:rFonts w:eastAsia="Times New Roman" w:cs="Calibri"/>
                <w:color w:val="000000"/>
                <w:sz w:val="22"/>
                <w:szCs w:val="22"/>
                <w:vertAlign w:val="superscript"/>
              </w:rPr>
              <w:t>c</w:t>
            </w:r>
          </w:p>
        </w:tc>
      </w:tr>
      <w:tr w:rsidR="008307FD" w:rsidRPr="008307FD" w14:paraId="5E4856AD" w14:textId="77777777" w:rsidTr="00D54C59">
        <w:trPr>
          <w:trHeight w:val="300"/>
        </w:trPr>
        <w:tc>
          <w:tcPr>
            <w:tcW w:w="3828" w:type="dxa"/>
            <w:tcBorders>
              <w:top w:val="nil"/>
              <w:left w:val="nil"/>
              <w:bottom w:val="nil"/>
              <w:right w:val="nil"/>
            </w:tcBorders>
            <w:shd w:val="clear" w:color="auto" w:fill="auto"/>
            <w:noWrap/>
            <w:vAlign w:val="bottom"/>
            <w:hideMark/>
          </w:tcPr>
          <w:p w14:paraId="3032BA9C"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Education, years</w:t>
            </w:r>
          </w:p>
        </w:tc>
        <w:tc>
          <w:tcPr>
            <w:tcW w:w="1512" w:type="dxa"/>
            <w:tcBorders>
              <w:top w:val="nil"/>
              <w:left w:val="nil"/>
              <w:bottom w:val="nil"/>
              <w:right w:val="nil"/>
            </w:tcBorders>
            <w:shd w:val="clear" w:color="auto" w:fill="auto"/>
            <w:noWrap/>
            <w:vAlign w:val="bottom"/>
            <w:hideMark/>
          </w:tcPr>
          <w:p w14:paraId="3FA43C1A"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10.6 (3.3)</w:t>
            </w:r>
          </w:p>
        </w:tc>
        <w:tc>
          <w:tcPr>
            <w:tcW w:w="1403" w:type="dxa"/>
            <w:tcBorders>
              <w:top w:val="nil"/>
              <w:left w:val="nil"/>
              <w:bottom w:val="nil"/>
              <w:right w:val="nil"/>
            </w:tcBorders>
            <w:shd w:val="clear" w:color="auto" w:fill="auto"/>
            <w:noWrap/>
            <w:vAlign w:val="bottom"/>
            <w:hideMark/>
          </w:tcPr>
          <w:p w14:paraId="16A5B20B"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9.8 (3.5)</w:t>
            </w:r>
          </w:p>
        </w:tc>
        <w:tc>
          <w:tcPr>
            <w:tcW w:w="1096" w:type="dxa"/>
            <w:gridSpan w:val="2"/>
            <w:tcBorders>
              <w:top w:val="nil"/>
              <w:left w:val="nil"/>
              <w:bottom w:val="nil"/>
              <w:right w:val="nil"/>
            </w:tcBorders>
            <w:shd w:val="clear" w:color="auto" w:fill="auto"/>
            <w:noWrap/>
            <w:vAlign w:val="bottom"/>
            <w:hideMark/>
          </w:tcPr>
          <w:p w14:paraId="5A6894CD"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0.21</w:t>
            </w:r>
          </w:p>
        </w:tc>
        <w:tc>
          <w:tcPr>
            <w:tcW w:w="1096" w:type="dxa"/>
            <w:gridSpan w:val="2"/>
            <w:tcBorders>
              <w:top w:val="nil"/>
              <w:left w:val="nil"/>
              <w:bottom w:val="nil"/>
              <w:right w:val="nil"/>
            </w:tcBorders>
          </w:tcPr>
          <w:p w14:paraId="505A2EC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0.48</w:t>
            </w:r>
          </w:p>
        </w:tc>
      </w:tr>
      <w:tr w:rsidR="008307FD" w:rsidRPr="008307FD" w14:paraId="56EC2D1D" w14:textId="77777777" w:rsidTr="00D54C59">
        <w:trPr>
          <w:trHeight w:val="300"/>
        </w:trPr>
        <w:tc>
          <w:tcPr>
            <w:tcW w:w="3828" w:type="dxa"/>
            <w:tcBorders>
              <w:top w:val="nil"/>
              <w:left w:val="nil"/>
              <w:bottom w:val="nil"/>
              <w:right w:val="nil"/>
            </w:tcBorders>
            <w:shd w:val="clear" w:color="auto" w:fill="auto"/>
            <w:noWrap/>
            <w:vAlign w:val="bottom"/>
          </w:tcPr>
          <w:p w14:paraId="47697F07"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IQ</w:t>
            </w:r>
          </w:p>
        </w:tc>
        <w:tc>
          <w:tcPr>
            <w:tcW w:w="1512" w:type="dxa"/>
            <w:tcBorders>
              <w:top w:val="nil"/>
              <w:left w:val="nil"/>
              <w:bottom w:val="nil"/>
              <w:right w:val="nil"/>
            </w:tcBorders>
            <w:shd w:val="clear" w:color="auto" w:fill="auto"/>
            <w:noWrap/>
            <w:vAlign w:val="bottom"/>
          </w:tcPr>
          <w:p w14:paraId="67AC0C19"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102.5 (15.0)</w:t>
            </w:r>
          </w:p>
        </w:tc>
        <w:tc>
          <w:tcPr>
            <w:tcW w:w="1403" w:type="dxa"/>
            <w:tcBorders>
              <w:top w:val="nil"/>
              <w:left w:val="nil"/>
              <w:bottom w:val="nil"/>
              <w:right w:val="nil"/>
            </w:tcBorders>
            <w:shd w:val="clear" w:color="auto" w:fill="auto"/>
            <w:noWrap/>
            <w:vAlign w:val="bottom"/>
          </w:tcPr>
          <w:p w14:paraId="4C051A4C"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97.0 (9.6)</w:t>
            </w:r>
          </w:p>
        </w:tc>
        <w:tc>
          <w:tcPr>
            <w:tcW w:w="1096" w:type="dxa"/>
            <w:gridSpan w:val="2"/>
            <w:tcBorders>
              <w:top w:val="nil"/>
              <w:left w:val="nil"/>
              <w:bottom w:val="nil"/>
              <w:right w:val="nil"/>
            </w:tcBorders>
            <w:shd w:val="clear" w:color="auto" w:fill="auto"/>
            <w:noWrap/>
            <w:vAlign w:val="bottom"/>
          </w:tcPr>
          <w:p w14:paraId="7EF51FA1" w14:textId="77777777" w:rsidR="008307FD" w:rsidRPr="008307FD" w:rsidRDefault="008307FD" w:rsidP="002635E3">
            <w:pPr>
              <w:spacing w:line="360" w:lineRule="auto"/>
              <w:jc w:val="both"/>
              <w:rPr>
                <w:rFonts w:eastAsia="Times New Roman" w:cs="Calibri"/>
                <w:color w:val="000000"/>
                <w:sz w:val="22"/>
                <w:szCs w:val="22"/>
                <w:vertAlign w:val="superscript"/>
              </w:rPr>
            </w:pPr>
            <w:r w:rsidRPr="008307FD">
              <w:rPr>
                <w:rFonts w:eastAsia="Times New Roman" w:cs="Calibri"/>
                <w:color w:val="000000"/>
                <w:sz w:val="22"/>
                <w:szCs w:val="22"/>
              </w:rPr>
              <w:t>0.07</w:t>
            </w:r>
            <w:r w:rsidRPr="008307FD">
              <w:rPr>
                <w:rFonts w:eastAsia="Times New Roman" w:cs="Calibri"/>
                <w:color w:val="000000"/>
                <w:sz w:val="22"/>
                <w:szCs w:val="22"/>
                <w:vertAlign w:val="superscript"/>
              </w:rPr>
              <w:t>b</w:t>
            </w:r>
          </w:p>
        </w:tc>
        <w:tc>
          <w:tcPr>
            <w:tcW w:w="1096" w:type="dxa"/>
            <w:gridSpan w:val="2"/>
            <w:tcBorders>
              <w:top w:val="nil"/>
              <w:left w:val="nil"/>
              <w:bottom w:val="nil"/>
              <w:right w:val="nil"/>
            </w:tcBorders>
          </w:tcPr>
          <w:p w14:paraId="43AC323C"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0.87</w:t>
            </w:r>
            <w:r w:rsidRPr="008307FD">
              <w:rPr>
                <w:rFonts w:eastAsia="Times New Roman" w:cs="Calibri"/>
                <w:color w:val="000000"/>
                <w:sz w:val="22"/>
                <w:szCs w:val="22"/>
                <w:vertAlign w:val="superscript"/>
              </w:rPr>
              <w:t>d</w:t>
            </w:r>
          </w:p>
        </w:tc>
      </w:tr>
      <w:tr w:rsidR="008307FD" w:rsidRPr="008307FD" w14:paraId="407B5A11" w14:textId="77777777" w:rsidTr="00D54C59">
        <w:trPr>
          <w:trHeight w:val="300"/>
        </w:trPr>
        <w:tc>
          <w:tcPr>
            <w:tcW w:w="3828" w:type="dxa"/>
            <w:tcBorders>
              <w:top w:val="nil"/>
              <w:left w:val="nil"/>
              <w:bottom w:val="nil"/>
              <w:right w:val="nil"/>
            </w:tcBorders>
            <w:shd w:val="clear" w:color="auto" w:fill="auto"/>
            <w:noWrap/>
            <w:vAlign w:val="bottom"/>
            <w:hideMark/>
          </w:tcPr>
          <w:p w14:paraId="1BB5CC17"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Smokers (%)</w:t>
            </w:r>
          </w:p>
        </w:tc>
        <w:tc>
          <w:tcPr>
            <w:tcW w:w="1512" w:type="dxa"/>
            <w:tcBorders>
              <w:top w:val="nil"/>
              <w:left w:val="nil"/>
              <w:bottom w:val="nil"/>
              <w:right w:val="nil"/>
            </w:tcBorders>
            <w:shd w:val="clear" w:color="auto" w:fill="auto"/>
            <w:noWrap/>
            <w:vAlign w:val="bottom"/>
          </w:tcPr>
          <w:p w14:paraId="18C11DD9"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30 (65%)</w:t>
            </w:r>
          </w:p>
        </w:tc>
        <w:tc>
          <w:tcPr>
            <w:tcW w:w="1403" w:type="dxa"/>
            <w:tcBorders>
              <w:top w:val="nil"/>
              <w:left w:val="nil"/>
              <w:bottom w:val="nil"/>
              <w:right w:val="nil"/>
            </w:tcBorders>
            <w:shd w:val="clear" w:color="auto" w:fill="auto"/>
            <w:noWrap/>
            <w:vAlign w:val="bottom"/>
          </w:tcPr>
          <w:p w14:paraId="0026F9C8"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4 (13%)</w:t>
            </w:r>
          </w:p>
        </w:tc>
        <w:tc>
          <w:tcPr>
            <w:tcW w:w="1096" w:type="dxa"/>
            <w:gridSpan w:val="2"/>
            <w:tcBorders>
              <w:top w:val="nil"/>
              <w:left w:val="nil"/>
              <w:bottom w:val="nil"/>
              <w:right w:val="nil"/>
            </w:tcBorders>
            <w:shd w:val="clear" w:color="auto" w:fill="auto"/>
            <w:noWrap/>
            <w:vAlign w:val="bottom"/>
            <w:hideMark/>
          </w:tcPr>
          <w:p w14:paraId="3921BC98" w14:textId="77777777" w:rsidR="008307FD" w:rsidRPr="008307FD" w:rsidRDefault="008307FD" w:rsidP="002635E3">
            <w:pPr>
              <w:spacing w:line="360" w:lineRule="auto"/>
              <w:jc w:val="both"/>
              <w:rPr>
                <w:rFonts w:eastAsia="Times New Roman" w:cs="Calibri"/>
                <w:b/>
                <w:color w:val="000000"/>
                <w:sz w:val="22"/>
                <w:szCs w:val="22"/>
              </w:rPr>
            </w:pPr>
            <w:r w:rsidRPr="008307FD">
              <w:rPr>
                <w:rFonts w:eastAsia="Times New Roman" w:cs="Calibri"/>
                <w:b/>
                <w:color w:val="000000"/>
                <w:sz w:val="22"/>
                <w:szCs w:val="22"/>
              </w:rPr>
              <w:t>&lt;0.001</w:t>
            </w:r>
            <w:r w:rsidRPr="008307FD">
              <w:rPr>
                <w:rFonts w:eastAsia="Times New Roman" w:cs="Calibri"/>
                <w:color w:val="000000"/>
                <w:sz w:val="22"/>
                <w:szCs w:val="22"/>
                <w:vertAlign w:val="superscript"/>
              </w:rPr>
              <w:t>a</w:t>
            </w:r>
          </w:p>
        </w:tc>
        <w:tc>
          <w:tcPr>
            <w:tcW w:w="1096" w:type="dxa"/>
            <w:gridSpan w:val="2"/>
            <w:tcBorders>
              <w:top w:val="nil"/>
              <w:left w:val="nil"/>
              <w:bottom w:val="nil"/>
              <w:right w:val="nil"/>
            </w:tcBorders>
          </w:tcPr>
          <w:p w14:paraId="097101D1" w14:textId="77777777" w:rsidR="008307FD" w:rsidRPr="008307FD" w:rsidRDefault="008307FD" w:rsidP="002635E3">
            <w:pPr>
              <w:spacing w:line="360" w:lineRule="auto"/>
              <w:jc w:val="both"/>
              <w:rPr>
                <w:rFonts w:eastAsia="Times New Roman" w:cs="Calibri"/>
                <w:b/>
                <w:bCs/>
                <w:color w:val="000000"/>
                <w:sz w:val="22"/>
                <w:szCs w:val="22"/>
              </w:rPr>
            </w:pPr>
            <w:r w:rsidRPr="008307FD">
              <w:rPr>
                <w:rFonts w:eastAsia="Times New Roman" w:cs="Calibri"/>
                <w:b/>
                <w:bCs/>
                <w:color w:val="000000"/>
                <w:sz w:val="22"/>
                <w:szCs w:val="22"/>
              </w:rPr>
              <w:t>&gt;100</w:t>
            </w:r>
            <w:r w:rsidRPr="008307FD">
              <w:rPr>
                <w:rFonts w:eastAsia="Times New Roman" w:cs="Calibri"/>
                <w:color w:val="000000"/>
                <w:sz w:val="22"/>
                <w:szCs w:val="22"/>
                <w:vertAlign w:val="superscript"/>
              </w:rPr>
              <w:t>c</w:t>
            </w:r>
          </w:p>
        </w:tc>
      </w:tr>
      <w:tr w:rsidR="008307FD" w:rsidRPr="008307FD" w14:paraId="2494B9E9" w14:textId="77777777" w:rsidTr="00D54C59">
        <w:trPr>
          <w:trHeight w:val="300"/>
        </w:trPr>
        <w:tc>
          <w:tcPr>
            <w:tcW w:w="3828" w:type="dxa"/>
            <w:tcBorders>
              <w:top w:val="nil"/>
              <w:left w:val="nil"/>
              <w:bottom w:val="nil"/>
              <w:right w:val="nil"/>
            </w:tcBorders>
            <w:shd w:val="clear" w:color="auto" w:fill="auto"/>
            <w:noWrap/>
            <w:vAlign w:val="bottom"/>
            <w:hideMark/>
          </w:tcPr>
          <w:p w14:paraId="4F73E300"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AUDIT</w:t>
            </w:r>
          </w:p>
        </w:tc>
        <w:tc>
          <w:tcPr>
            <w:tcW w:w="1512" w:type="dxa"/>
            <w:tcBorders>
              <w:top w:val="nil"/>
              <w:left w:val="nil"/>
              <w:bottom w:val="nil"/>
              <w:right w:val="nil"/>
            </w:tcBorders>
            <w:shd w:val="clear" w:color="auto" w:fill="auto"/>
            <w:noWrap/>
            <w:vAlign w:val="bottom"/>
            <w:hideMark/>
          </w:tcPr>
          <w:p w14:paraId="5D4B717E"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23.7 (6.0)</w:t>
            </w:r>
          </w:p>
        </w:tc>
        <w:tc>
          <w:tcPr>
            <w:tcW w:w="1403" w:type="dxa"/>
            <w:tcBorders>
              <w:top w:val="nil"/>
              <w:left w:val="nil"/>
              <w:bottom w:val="nil"/>
              <w:right w:val="nil"/>
            </w:tcBorders>
            <w:shd w:val="clear" w:color="auto" w:fill="auto"/>
            <w:noWrap/>
            <w:vAlign w:val="bottom"/>
            <w:hideMark/>
          </w:tcPr>
          <w:p w14:paraId="6EB7CD6F"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4.1 (2.1)</w:t>
            </w:r>
          </w:p>
        </w:tc>
        <w:tc>
          <w:tcPr>
            <w:tcW w:w="1096" w:type="dxa"/>
            <w:gridSpan w:val="2"/>
            <w:tcBorders>
              <w:top w:val="nil"/>
              <w:left w:val="nil"/>
              <w:bottom w:val="nil"/>
              <w:right w:val="nil"/>
            </w:tcBorders>
            <w:shd w:val="clear" w:color="auto" w:fill="auto"/>
            <w:noWrap/>
            <w:vAlign w:val="bottom"/>
            <w:hideMark/>
          </w:tcPr>
          <w:p w14:paraId="1A77BADB"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b/>
                <w:color w:val="000000"/>
                <w:sz w:val="22"/>
                <w:szCs w:val="22"/>
              </w:rPr>
              <w:t>&lt;0.001</w:t>
            </w:r>
            <w:r w:rsidRPr="008307FD">
              <w:rPr>
                <w:rFonts w:eastAsia="Times New Roman" w:cs="Calibri"/>
                <w:color w:val="000000"/>
                <w:sz w:val="22"/>
                <w:szCs w:val="22"/>
                <w:vertAlign w:val="superscript"/>
              </w:rPr>
              <w:t>b</w:t>
            </w:r>
          </w:p>
        </w:tc>
        <w:tc>
          <w:tcPr>
            <w:tcW w:w="1096" w:type="dxa"/>
            <w:gridSpan w:val="2"/>
            <w:tcBorders>
              <w:top w:val="nil"/>
              <w:left w:val="nil"/>
              <w:bottom w:val="nil"/>
              <w:right w:val="nil"/>
            </w:tcBorders>
          </w:tcPr>
          <w:p w14:paraId="6DD60912" w14:textId="77777777" w:rsidR="008307FD" w:rsidRPr="008307FD" w:rsidRDefault="008307FD" w:rsidP="002635E3">
            <w:pPr>
              <w:spacing w:line="360" w:lineRule="auto"/>
              <w:jc w:val="both"/>
              <w:rPr>
                <w:rFonts w:eastAsia="Times New Roman" w:cs="Calibri"/>
                <w:b/>
                <w:bCs/>
                <w:color w:val="000000"/>
                <w:sz w:val="22"/>
                <w:szCs w:val="22"/>
              </w:rPr>
            </w:pPr>
            <w:r w:rsidRPr="008307FD">
              <w:rPr>
                <w:rFonts w:eastAsia="Times New Roman" w:cs="Calibri"/>
                <w:b/>
                <w:bCs/>
                <w:color w:val="000000"/>
                <w:sz w:val="22"/>
                <w:szCs w:val="22"/>
              </w:rPr>
              <w:t>&gt;100</w:t>
            </w:r>
            <w:r w:rsidRPr="008307FD">
              <w:rPr>
                <w:rFonts w:eastAsia="Times New Roman" w:cs="Calibri"/>
                <w:color w:val="000000"/>
                <w:sz w:val="22"/>
                <w:szCs w:val="22"/>
                <w:vertAlign w:val="superscript"/>
              </w:rPr>
              <w:t>d</w:t>
            </w:r>
          </w:p>
        </w:tc>
      </w:tr>
      <w:tr w:rsidR="008307FD" w:rsidRPr="008307FD" w14:paraId="65857CCB" w14:textId="77777777" w:rsidTr="00D54C59">
        <w:trPr>
          <w:trHeight w:val="300"/>
        </w:trPr>
        <w:tc>
          <w:tcPr>
            <w:tcW w:w="3828" w:type="dxa"/>
            <w:tcBorders>
              <w:top w:val="nil"/>
              <w:left w:val="nil"/>
              <w:bottom w:val="nil"/>
              <w:right w:val="nil"/>
            </w:tcBorders>
            <w:shd w:val="clear" w:color="auto" w:fill="auto"/>
            <w:noWrap/>
            <w:vAlign w:val="bottom"/>
          </w:tcPr>
          <w:p w14:paraId="78BC75C7" w14:textId="77777777" w:rsidR="008307FD" w:rsidRPr="008307FD" w:rsidRDefault="008307FD" w:rsidP="002635E3">
            <w:pPr>
              <w:spacing w:line="360" w:lineRule="auto"/>
              <w:rPr>
                <w:rFonts w:eastAsia="Times New Roman" w:cs="Calibri"/>
                <w:color w:val="000000"/>
                <w:sz w:val="22"/>
                <w:szCs w:val="22"/>
              </w:rPr>
            </w:pPr>
            <w:r w:rsidRPr="008307FD">
              <w:rPr>
                <w:rFonts w:eastAsia="Times New Roman" w:cs="Calibri"/>
                <w:color w:val="000000"/>
                <w:sz w:val="22"/>
                <w:szCs w:val="22"/>
              </w:rPr>
              <w:t>Lifetime alcohol intake, kg pure alcohol</w:t>
            </w:r>
          </w:p>
        </w:tc>
        <w:tc>
          <w:tcPr>
            <w:tcW w:w="1512" w:type="dxa"/>
            <w:tcBorders>
              <w:top w:val="nil"/>
              <w:left w:val="nil"/>
              <w:bottom w:val="nil"/>
              <w:right w:val="nil"/>
            </w:tcBorders>
            <w:shd w:val="clear" w:color="auto" w:fill="auto"/>
            <w:noWrap/>
            <w:vAlign w:val="bottom"/>
          </w:tcPr>
          <w:p w14:paraId="26B6FDF3"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594.8 (495.8)</w:t>
            </w:r>
          </w:p>
        </w:tc>
        <w:tc>
          <w:tcPr>
            <w:tcW w:w="1403" w:type="dxa"/>
            <w:tcBorders>
              <w:top w:val="nil"/>
              <w:left w:val="nil"/>
              <w:bottom w:val="nil"/>
              <w:right w:val="nil"/>
            </w:tcBorders>
            <w:shd w:val="clear" w:color="auto" w:fill="auto"/>
            <w:noWrap/>
            <w:vAlign w:val="bottom"/>
          </w:tcPr>
          <w:p w14:paraId="71D4D321"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52.3 (52.2)</w:t>
            </w:r>
          </w:p>
        </w:tc>
        <w:tc>
          <w:tcPr>
            <w:tcW w:w="1096" w:type="dxa"/>
            <w:gridSpan w:val="2"/>
            <w:tcBorders>
              <w:top w:val="nil"/>
              <w:left w:val="nil"/>
              <w:bottom w:val="nil"/>
              <w:right w:val="nil"/>
            </w:tcBorders>
            <w:shd w:val="clear" w:color="auto" w:fill="auto"/>
            <w:noWrap/>
            <w:vAlign w:val="bottom"/>
          </w:tcPr>
          <w:p w14:paraId="5F339873"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b/>
                <w:color w:val="000000"/>
                <w:sz w:val="22"/>
                <w:szCs w:val="22"/>
              </w:rPr>
              <w:t>&lt;0.001</w:t>
            </w:r>
            <w:r w:rsidRPr="008307FD">
              <w:rPr>
                <w:rFonts w:eastAsia="Times New Roman" w:cs="Calibri"/>
                <w:color w:val="000000"/>
                <w:sz w:val="22"/>
                <w:szCs w:val="22"/>
                <w:vertAlign w:val="superscript"/>
              </w:rPr>
              <w:t>b</w:t>
            </w:r>
          </w:p>
        </w:tc>
        <w:tc>
          <w:tcPr>
            <w:tcW w:w="1096" w:type="dxa"/>
            <w:gridSpan w:val="2"/>
            <w:tcBorders>
              <w:top w:val="nil"/>
              <w:left w:val="nil"/>
              <w:bottom w:val="nil"/>
              <w:right w:val="nil"/>
            </w:tcBorders>
          </w:tcPr>
          <w:p w14:paraId="7B2304CF" w14:textId="77777777" w:rsidR="008307FD" w:rsidRPr="008307FD" w:rsidRDefault="008307FD" w:rsidP="002635E3">
            <w:pPr>
              <w:spacing w:line="360" w:lineRule="auto"/>
              <w:jc w:val="both"/>
              <w:rPr>
                <w:rFonts w:eastAsia="Times New Roman" w:cs="Calibri"/>
                <w:b/>
                <w:bCs/>
                <w:color w:val="000000"/>
                <w:sz w:val="22"/>
                <w:szCs w:val="22"/>
              </w:rPr>
            </w:pPr>
            <w:r w:rsidRPr="008307FD">
              <w:rPr>
                <w:rFonts w:eastAsia="Times New Roman" w:cs="Calibri"/>
                <w:b/>
                <w:bCs/>
                <w:color w:val="000000"/>
                <w:sz w:val="22"/>
                <w:szCs w:val="22"/>
              </w:rPr>
              <w:t>&gt;100</w:t>
            </w:r>
            <w:r w:rsidRPr="008307FD">
              <w:rPr>
                <w:rFonts w:eastAsia="Times New Roman" w:cs="Calibri"/>
                <w:color w:val="000000"/>
                <w:sz w:val="22"/>
                <w:szCs w:val="22"/>
                <w:vertAlign w:val="superscript"/>
              </w:rPr>
              <w:t>d</w:t>
            </w:r>
          </w:p>
        </w:tc>
      </w:tr>
      <w:tr w:rsidR="008307FD" w:rsidRPr="008307FD" w14:paraId="055DA63B" w14:textId="77777777" w:rsidTr="00D54C59">
        <w:trPr>
          <w:trHeight w:val="300"/>
        </w:trPr>
        <w:tc>
          <w:tcPr>
            <w:tcW w:w="3828" w:type="dxa"/>
            <w:tcBorders>
              <w:top w:val="nil"/>
              <w:left w:val="nil"/>
              <w:bottom w:val="nil"/>
              <w:right w:val="nil"/>
            </w:tcBorders>
            <w:shd w:val="clear" w:color="auto" w:fill="auto"/>
            <w:noWrap/>
            <w:vAlign w:val="bottom"/>
          </w:tcPr>
          <w:p w14:paraId="2072C68F"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OCDS</w:t>
            </w:r>
          </w:p>
        </w:tc>
        <w:tc>
          <w:tcPr>
            <w:tcW w:w="1512" w:type="dxa"/>
            <w:tcBorders>
              <w:top w:val="nil"/>
              <w:left w:val="nil"/>
              <w:bottom w:val="nil"/>
              <w:right w:val="nil"/>
            </w:tcBorders>
            <w:shd w:val="clear" w:color="auto" w:fill="auto"/>
            <w:noWrap/>
            <w:vAlign w:val="bottom"/>
          </w:tcPr>
          <w:p w14:paraId="0EBFDFF1"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5.0 (2.9)</w:t>
            </w:r>
          </w:p>
        </w:tc>
        <w:tc>
          <w:tcPr>
            <w:tcW w:w="1403" w:type="dxa"/>
            <w:tcBorders>
              <w:top w:val="nil"/>
              <w:left w:val="nil"/>
              <w:bottom w:val="nil"/>
              <w:right w:val="nil"/>
            </w:tcBorders>
            <w:shd w:val="clear" w:color="auto" w:fill="auto"/>
            <w:noWrap/>
            <w:vAlign w:val="bottom"/>
          </w:tcPr>
          <w:p w14:paraId="65D045CF"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0.9 (1.8)</w:t>
            </w:r>
          </w:p>
        </w:tc>
        <w:tc>
          <w:tcPr>
            <w:tcW w:w="1096" w:type="dxa"/>
            <w:gridSpan w:val="2"/>
            <w:tcBorders>
              <w:top w:val="nil"/>
              <w:left w:val="nil"/>
              <w:bottom w:val="nil"/>
              <w:right w:val="nil"/>
            </w:tcBorders>
            <w:shd w:val="clear" w:color="auto" w:fill="auto"/>
            <w:noWrap/>
            <w:vAlign w:val="bottom"/>
          </w:tcPr>
          <w:p w14:paraId="35B89849"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b/>
                <w:color w:val="000000"/>
                <w:sz w:val="22"/>
                <w:szCs w:val="22"/>
              </w:rPr>
              <w:t>&lt;0.001</w:t>
            </w:r>
          </w:p>
        </w:tc>
        <w:tc>
          <w:tcPr>
            <w:tcW w:w="1096" w:type="dxa"/>
            <w:gridSpan w:val="2"/>
            <w:tcBorders>
              <w:top w:val="nil"/>
              <w:left w:val="nil"/>
              <w:bottom w:val="nil"/>
              <w:right w:val="nil"/>
            </w:tcBorders>
          </w:tcPr>
          <w:p w14:paraId="06CBB425" w14:textId="77777777" w:rsidR="008307FD" w:rsidRPr="008307FD" w:rsidRDefault="008307FD" w:rsidP="002635E3">
            <w:pPr>
              <w:spacing w:line="360" w:lineRule="auto"/>
              <w:jc w:val="both"/>
              <w:rPr>
                <w:rFonts w:eastAsia="Times New Roman" w:cs="Calibri"/>
                <w:b/>
                <w:bCs/>
                <w:color w:val="000000"/>
                <w:sz w:val="22"/>
                <w:szCs w:val="22"/>
              </w:rPr>
            </w:pPr>
            <w:r w:rsidRPr="008307FD">
              <w:rPr>
                <w:rFonts w:eastAsia="Times New Roman" w:cs="Calibri"/>
                <w:b/>
                <w:bCs/>
                <w:color w:val="000000"/>
                <w:sz w:val="22"/>
                <w:szCs w:val="22"/>
              </w:rPr>
              <w:t>&gt;100</w:t>
            </w:r>
          </w:p>
        </w:tc>
      </w:tr>
      <w:tr w:rsidR="008307FD" w:rsidRPr="008307FD" w14:paraId="59FA4964" w14:textId="77777777" w:rsidTr="00D54C59">
        <w:trPr>
          <w:trHeight w:val="300"/>
        </w:trPr>
        <w:tc>
          <w:tcPr>
            <w:tcW w:w="3828" w:type="dxa"/>
            <w:tcBorders>
              <w:top w:val="nil"/>
              <w:left w:val="nil"/>
              <w:bottom w:val="nil"/>
              <w:right w:val="nil"/>
            </w:tcBorders>
            <w:shd w:val="clear" w:color="auto" w:fill="auto"/>
            <w:noWrap/>
            <w:vAlign w:val="bottom"/>
          </w:tcPr>
          <w:p w14:paraId="23FB8C67"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AUD duration (years)</w:t>
            </w:r>
          </w:p>
        </w:tc>
        <w:tc>
          <w:tcPr>
            <w:tcW w:w="1512" w:type="dxa"/>
            <w:tcBorders>
              <w:top w:val="nil"/>
              <w:left w:val="nil"/>
              <w:bottom w:val="nil"/>
              <w:right w:val="nil"/>
            </w:tcBorders>
            <w:shd w:val="clear" w:color="auto" w:fill="auto"/>
            <w:noWrap/>
            <w:vAlign w:val="bottom"/>
          </w:tcPr>
          <w:p w14:paraId="05807F3E"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12.0 (11.0)</w:t>
            </w:r>
          </w:p>
        </w:tc>
        <w:tc>
          <w:tcPr>
            <w:tcW w:w="1403" w:type="dxa"/>
            <w:tcBorders>
              <w:top w:val="nil"/>
              <w:left w:val="nil"/>
              <w:bottom w:val="nil"/>
              <w:right w:val="nil"/>
            </w:tcBorders>
            <w:shd w:val="clear" w:color="auto" w:fill="auto"/>
            <w:noWrap/>
            <w:vAlign w:val="bottom"/>
          </w:tcPr>
          <w:p w14:paraId="6A09E912"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w:t>
            </w:r>
          </w:p>
        </w:tc>
        <w:tc>
          <w:tcPr>
            <w:tcW w:w="1096" w:type="dxa"/>
            <w:gridSpan w:val="2"/>
            <w:tcBorders>
              <w:top w:val="nil"/>
              <w:left w:val="nil"/>
              <w:bottom w:val="nil"/>
              <w:right w:val="nil"/>
            </w:tcBorders>
            <w:shd w:val="clear" w:color="auto" w:fill="auto"/>
            <w:noWrap/>
            <w:vAlign w:val="bottom"/>
          </w:tcPr>
          <w:p w14:paraId="33E67AC6"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w:t>
            </w:r>
          </w:p>
        </w:tc>
        <w:tc>
          <w:tcPr>
            <w:tcW w:w="1096" w:type="dxa"/>
            <w:gridSpan w:val="2"/>
            <w:tcBorders>
              <w:top w:val="nil"/>
              <w:left w:val="nil"/>
              <w:bottom w:val="nil"/>
              <w:right w:val="nil"/>
            </w:tcBorders>
          </w:tcPr>
          <w:p w14:paraId="1BBD13F9" w14:textId="77777777" w:rsidR="008307FD" w:rsidRPr="008307FD" w:rsidRDefault="008307FD" w:rsidP="002635E3">
            <w:pPr>
              <w:spacing w:line="360" w:lineRule="auto"/>
              <w:jc w:val="both"/>
              <w:rPr>
                <w:rFonts w:eastAsia="Times New Roman" w:cs="Calibri"/>
                <w:bCs/>
                <w:color w:val="000000"/>
                <w:sz w:val="22"/>
                <w:szCs w:val="22"/>
              </w:rPr>
            </w:pPr>
            <w:r w:rsidRPr="008307FD">
              <w:rPr>
                <w:rFonts w:eastAsia="Times New Roman" w:cs="Calibri"/>
                <w:bCs/>
                <w:color w:val="000000"/>
                <w:sz w:val="22"/>
                <w:szCs w:val="22"/>
              </w:rPr>
              <w:t>-</w:t>
            </w:r>
          </w:p>
        </w:tc>
      </w:tr>
      <w:tr w:rsidR="008307FD" w:rsidRPr="008307FD" w14:paraId="5F676D27" w14:textId="77777777" w:rsidTr="00D54C59">
        <w:trPr>
          <w:trHeight w:val="300"/>
        </w:trPr>
        <w:tc>
          <w:tcPr>
            <w:tcW w:w="3828" w:type="dxa"/>
            <w:tcBorders>
              <w:top w:val="nil"/>
              <w:left w:val="nil"/>
              <w:bottom w:val="single" w:sz="4" w:space="0" w:color="auto"/>
              <w:right w:val="nil"/>
            </w:tcBorders>
            <w:shd w:val="clear" w:color="auto" w:fill="auto"/>
            <w:noWrap/>
            <w:vAlign w:val="bottom"/>
            <w:hideMark/>
          </w:tcPr>
          <w:p w14:paraId="16BED5C2" w14:textId="77777777" w:rsidR="008307FD" w:rsidRPr="008307FD" w:rsidRDefault="008307FD" w:rsidP="002635E3">
            <w:pPr>
              <w:spacing w:after="120" w:line="360" w:lineRule="auto"/>
              <w:jc w:val="both"/>
              <w:rPr>
                <w:rFonts w:eastAsia="Times New Roman" w:cs="Calibri"/>
                <w:color w:val="000000"/>
                <w:sz w:val="22"/>
                <w:szCs w:val="22"/>
              </w:rPr>
            </w:pPr>
            <w:r w:rsidRPr="008307FD">
              <w:rPr>
                <w:rFonts w:eastAsia="Times New Roman" w:cs="Calibri"/>
                <w:color w:val="000000"/>
                <w:sz w:val="22"/>
                <w:szCs w:val="22"/>
              </w:rPr>
              <w:t>Weeks abstinent</w:t>
            </w:r>
          </w:p>
        </w:tc>
        <w:tc>
          <w:tcPr>
            <w:tcW w:w="1512" w:type="dxa"/>
            <w:tcBorders>
              <w:top w:val="nil"/>
              <w:left w:val="nil"/>
              <w:bottom w:val="single" w:sz="4" w:space="0" w:color="auto"/>
              <w:right w:val="nil"/>
            </w:tcBorders>
            <w:shd w:val="clear" w:color="auto" w:fill="auto"/>
            <w:noWrap/>
            <w:vAlign w:val="bottom"/>
            <w:hideMark/>
          </w:tcPr>
          <w:p w14:paraId="3C8D5CC6" w14:textId="77777777" w:rsidR="008307FD" w:rsidRPr="008307FD" w:rsidRDefault="008307FD" w:rsidP="002635E3">
            <w:pPr>
              <w:spacing w:after="120" w:line="360" w:lineRule="auto"/>
              <w:jc w:val="both"/>
              <w:rPr>
                <w:rFonts w:eastAsia="Times New Roman" w:cs="Calibri"/>
                <w:color w:val="000000"/>
                <w:sz w:val="22"/>
                <w:szCs w:val="22"/>
              </w:rPr>
            </w:pPr>
            <w:r w:rsidRPr="008307FD">
              <w:rPr>
                <w:rFonts w:eastAsia="Times New Roman" w:cs="Calibri"/>
                <w:color w:val="000000"/>
                <w:sz w:val="22"/>
                <w:szCs w:val="22"/>
              </w:rPr>
              <w:t>8.2 (7.6)</w:t>
            </w:r>
          </w:p>
        </w:tc>
        <w:tc>
          <w:tcPr>
            <w:tcW w:w="1403" w:type="dxa"/>
            <w:tcBorders>
              <w:top w:val="nil"/>
              <w:left w:val="nil"/>
              <w:bottom w:val="single" w:sz="4" w:space="0" w:color="auto"/>
              <w:right w:val="nil"/>
            </w:tcBorders>
            <w:shd w:val="clear" w:color="auto" w:fill="auto"/>
            <w:noWrap/>
            <w:vAlign w:val="bottom"/>
            <w:hideMark/>
          </w:tcPr>
          <w:p w14:paraId="0BE14808" w14:textId="77777777" w:rsidR="008307FD" w:rsidRPr="008307FD" w:rsidRDefault="008307FD" w:rsidP="002635E3">
            <w:pPr>
              <w:spacing w:after="120" w:line="360" w:lineRule="auto"/>
              <w:jc w:val="both"/>
              <w:rPr>
                <w:rFonts w:eastAsia="Times New Roman" w:cs="Calibri"/>
                <w:color w:val="000000"/>
                <w:sz w:val="22"/>
                <w:szCs w:val="22"/>
              </w:rPr>
            </w:pPr>
            <w:r w:rsidRPr="008307FD">
              <w:rPr>
                <w:rFonts w:eastAsia="Times New Roman" w:cs="Calibri"/>
                <w:color w:val="000000"/>
                <w:sz w:val="22"/>
                <w:szCs w:val="22"/>
              </w:rPr>
              <w:t>-</w:t>
            </w:r>
          </w:p>
        </w:tc>
        <w:tc>
          <w:tcPr>
            <w:tcW w:w="1096" w:type="dxa"/>
            <w:gridSpan w:val="2"/>
            <w:tcBorders>
              <w:top w:val="nil"/>
              <w:left w:val="nil"/>
              <w:bottom w:val="single" w:sz="4" w:space="0" w:color="auto"/>
              <w:right w:val="nil"/>
            </w:tcBorders>
            <w:shd w:val="clear" w:color="auto" w:fill="auto"/>
            <w:noWrap/>
            <w:vAlign w:val="bottom"/>
            <w:hideMark/>
          </w:tcPr>
          <w:p w14:paraId="09FA2A7E" w14:textId="77777777" w:rsidR="008307FD" w:rsidRPr="008307FD" w:rsidRDefault="008307FD" w:rsidP="002635E3">
            <w:pPr>
              <w:spacing w:after="120" w:line="360" w:lineRule="auto"/>
              <w:jc w:val="both"/>
              <w:rPr>
                <w:rFonts w:eastAsia="Times New Roman" w:cs="Calibri"/>
                <w:color w:val="000000"/>
                <w:sz w:val="22"/>
                <w:szCs w:val="22"/>
              </w:rPr>
            </w:pPr>
            <w:r w:rsidRPr="008307FD">
              <w:rPr>
                <w:rFonts w:eastAsia="Times New Roman" w:cs="Calibri"/>
                <w:color w:val="000000"/>
                <w:sz w:val="22"/>
                <w:szCs w:val="22"/>
              </w:rPr>
              <w:t>-</w:t>
            </w:r>
          </w:p>
        </w:tc>
        <w:tc>
          <w:tcPr>
            <w:tcW w:w="1096" w:type="dxa"/>
            <w:gridSpan w:val="2"/>
            <w:tcBorders>
              <w:top w:val="nil"/>
              <w:left w:val="nil"/>
              <w:bottom w:val="single" w:sz="4" w:space="0" w:color="auto"/>
              <w:right w:val="nil"/>
            </w:tcBorders>
          </w:tcPr>
          <w:p w14:paraId="237AFA41" w14:textId="77777777" w:rsidR="008307FD" w:rsidRPr="008307FD" w:rsidRDefault="008307FD" w:rsidP="002635E3">
            <w:pPr>
              <w:spacing w:after="120" w:line="360" w:lineRule="auto"/>
              <w:jc w:val="both"/>
              <w:rPr>
                <w:rFonts w:eastAsia="Times New Roman" w:cs="Calibri"/>
                <w:color w:val="000000"/>
                <w:sz w:val="22"/>
                <w:szCs w:val="22"/>
              </w:rPr>
            </w:pPr>
            <w:r w:rsidRPr="008307FD">
              <w:rPr>
                <w:rFonts w:eastAsia="Times New Roman" w:cs="Calibri"/>
                <w:color w:val="000000"/>
                <w:sz w:val="22"/>
                <w:szCs w:val="22"/>
              </w:rPr>
              <w:t>-</w:t>
            </w:r>
          </w:p>
        </w:tc>
      </w:tr>
    </w:tbl>
    <w:p w14:paraId="2BF195BD" w14:textId="77777777" w:rsidR="008307FD" w:rsidRPr="008307FD" w:rsidRDefault="008307FD" w:rsidP="008307FD">
      <w:pPr>
        <w:spacing w:after="240" w:line="480" w:lineRule="auto"/>
        <w:jc w:val="both"/>
        <w:rPr>
          <w:rFonts w:eastAsia="Times New Roman" w:cs="Calibri"/>
          <w:bCs/>
          <w:i/>
          <w:iCs/>
          <w:color w:val="000000"/>
          <w:sz w:val="20"/>
          <w:szCs w:val="20"/>
        </w:rPr>
      </w:pPr>
      <w:r>
        <w:rPr>
          <w:rFonts w:cs="Calibri"/>
          <w:b/>
          <w:i/>
          <w:iCs/>
          <w:sz w:val="20"/>
          <w:szCs w:val="20"/>
        </w:rPr>
        <w:t xml:space="preserve">Supplementary </w:t>
      </w:r>
      <w:r w:rsidRPr="008307FD">
        <w:rPr>
          <w:rFonts w:cs="Calibri"/>
          <w:b/>
          <w:i/>
          <w:iCs/>
          <w:sz w:val="20"/>
          <w:szCs w:val="20"/>
        </w:rPr>
        <w:t>Table 1:</w:t>
      </w:r>
      <w:r w:rsidRPr="008307FD">
        <w:rPr>
          <w:rFonts w:eastAsia="Times New Roman" w:cs="Calibri"/>
          <w:bCs/>
          <w:i/>
          <w:iCs/>
          <w:color w:val="000000"/>
          <w:sz w:val="20"/>
          <w:szCs w:val="20"/>
        </w:rPr>
        <w:t xml:space="preserve"> Demographical &amp; Clinical information AUD patients and matched controls. AUD, Alcohol Use Disorder group; HC, Healthy Control group; SD, Standard Deviation; IQ, Intelligence Quotient; AUDIT, Alcohol Use Disorders Identification Test; OCDS, Obsessive Compulsive Drinking Scale; </w:t>
      </w:r>
      <w:proofErr w:type="spellStart"/>
      <w:r w:rsidRPr="008307FD">
        <w:rPr>
          <w:rFonts w:eastAsia="Times New Roman" w:cs="Calibri"/>
          <w:bCs/>
          <w:i/>
          <w:iCs/>
          <w:color w:val="000000"/>
          <w:sz w:val="20"/>
          <w:szCs w:val="20"/>
          <w:vertAlign w:val="superscript"/>
        </w:rPr>
        <w:t>a</w:t>
      </w:r>
      <w:r w:rsidRPr="008307FD">
        <w:rPr>
          <w:rFonts w:eastAsia="Times New Roman" w:cs="Calibri"/>
          <w:bCs/>
          <w:i/>
          <w:iCs/>
          <w:color w:val="000000"/>
          <w:sz w:val="20"/>
          <w:szCs w:val="20"/>
        </w:rPr>
        <w:t>Chi</w:t>
      </w:r>
      <w:proofErr w:type="spellEnd"/>
      <w:r w:rsidRPr="008307FD">
        <w:rPr>
          <w:rFonts w:eastAsia="Times New Roman" w:cs="Calibri"/>
          <w:bCs/>
          <w:i/>
          <w:iCs/>
          <w:color w:val="000000"/>
          <w:sz w:val="20"/>
          <w:szCs w:val="20"/>
        </w:rPr>
        <w:t xml:space="preserve">-square test. </w:t>
      </w:r>
      <w:proofErr w:type="spellStart"/>
      <w:r w:rsidRPr="008307FD">
        <w:rPr>
          <w:rFonts w:eastAsia="Times New Roman" w:cs="Calibri"/>
          <w:i/>
          <w:iCs/>
          <w:color w:val="000000"/>
          <w:sz w:val="20"/>
          <w:szCs w:val="20"/>
          <w:vertAlign w:val="superscript"/>
        </w:rPr>
        <w:t>b</w:t>
      </w:r>
      <w:r w:rsidRPr="008307FD">
        <w:rPr>
          <w:rFonts w:eastAsia="Times New Roman" w:cs="Calibri"/>
          <w:i/>
          <w:iCs/>
          <w:color w:val="000000"/>
          <w:sz w:val="20"/>
          <w:szCs w:val="20"/>
        </w:rPr>
        <w:t>Mann</w:t>
      </w:r>
      <w:proofErr w:type="spellEnd"/>
      <w:r w:rsidRPr="008307FD">
        <w:rPr>
          <w:rFonts w:eastAsia="Times New Roman" w:cs="Calibri"/>
          <w:i/>
          <w:iCs/>
          <w:color w:val="000000"/>
          <w:sz w:val="20"/>
          <w:szCs w:val="20"/>
        </w:rPr>
        <w:t>-Whitney U</w:t>
      </w:r>
      <w:r w:rsidRPr="008307FD">
        <w:rPr>
          <w:rFonts w:eastAsia="Times New Roman" w:cs="Calibri"/>
          <w:bCs/>
          <w:i/>
          <w:iCs/>
          <w:color w:val="000000"/>
          <w:sz w:val="20"/>
          <w:szCs w:val="20"/>
        </w:rPr>
        <w:t xml:space="preserve"> test; </w:t>
      </w:r>
      <w:proofErr w:type="spellStart"/>
      <w:r w:rsidRPr="008307FD">
        <w:rPr>
          <w:rFonts w:eastAsia="Times New Roman" w:cs="Calibri"/>
          <w:bCs/>
          <w:i/>
          <w:iCs/>
          <w:color w:val="000000"/>
          <w:sz w:val="20"/>
          <w:szCs w:val="20"/>
          <w:vertAlign w:val="superscript"/>
        </w:rPr>
        <w:t>c</w:t>
      </w:r>
      <w:r w:rsidRPr="008307FD">
        <w:rPr>
          <w:rFonts w:eastAsia="Times New Roman" w:cs="Calibri"/>
          <w:bCs/>
          <w:i/>
          <w:iCs/>
          <w:color w:val="000000"/>
          <w:sz w:val="20"/>
          <w:szCs w:val="20"/>
        </w:rPr>
        <w:t>Bayesian</w:t>
      </w:r>
      <w:proofErr w:type="spellEnd"/>
      <w:r w:rsidRPr="008307FD">
        <w:rPr>
          <w:rFonts w:eastAsia="Times New Roman" w:cs="Calibri"/>
          <w:bCs/>
          <w:i/>
          <w:iCs/>
          <w:color w:val="000000"/>
          <w:sz w:val="20"/>
          <w:szCs w:val="20"/>
        </w:rPr>
        <w:t xml:space="preserve"> contingency table using joint multinomial test; </w:t>
      </w:r>
      <w:proofErr w:type="spellStart"/>
      <w:r w:rsidRPr="008307FD">
        <w:rPr>
          <w:rFonts w:eastAsia="Times New Roman" w:cs="Calibri"/>
          <w:color w:val="000000"/>
          <w:sz w:val="20"/>
          <w:szCs w:val="20"/>
          <w:vertAlign w:val="superscript"/>
        </w:rPr>
        <w:t>d</w:t>
      </w:r>
      <w:r w:rsidRPr="008307FD">
        <w:rPr>
          <w:rFonts w:eastAsia="Times New Roman" w:cs="Calibri"/>
          <w:i/>
          <w:iCs/>
          <w:color w:val="000000"/>
          <w:sz w:val="20"/>
          <w:szCs w:val="20"/>
        </w:rPr>
        <w:t>Bayesian</w:t>
      </w:r>
      <w:proofErr w:type="spellEnd"/>
      <w:r w:rsidRPr="008307FD">
        <w:rPr>
          <w:rFonts w:eastAsia="Times New Roman" w:cs="Calibri"/>
          <w:i/>
          <w:iCs/>
          <w:color w:val="000000"/>
          <w:sz w:val="20"/>
          <w:szCs w:val="20"/>
        </w:rPr>
        <w:t xml:space="preserve"> Mann-Whitney U (1000 samples)</w:t>
      </w:r>
      <w:r w:rsidRPr="008307FD">
        <w:rPr>
          <w:rFonts w:eastAsia="Times New Roman" w:cs="Calibri"/>
          <w:bCs/>
          <w:i/>
          <w:iCs/>
          <w:color w:val="000000"/>
          <w:sz w:val="20"/>
          <w:szCs w:val="20"/>
        </w:rPr>
        <w:t>. BF</w:t>
      </w:r>
      <w:r w:rsidRPr="008307FD">
        <w:rPr>
          <w:rFonts w:eastAsia="Times New Roman" w:cs="Calibri"/>
          <w:bCs/>
          <w:i/>
          <w:iCs/>
          <w:color w:val="000000"/>
          <w:sz w:val="20"/>
          <w:szCs w:val="20"/>
          <w:vertAlign w:val="subscript"/>
        </w:rPr>
        <w:t>10</w:t>
      </w:r>
      <w:r w:rsidRPr="008307FD">
        <w:rPr>
          <w:rFonts w:eastAsia="Times New Roman" w:cs="Calibri"/>
          <w:bCs/>
          <w:i/>
          <w:iCs/>
          <w:color w:val="000000"/>
          <w:sz w:val="20"/>
          <w:szCs w:val="20"/>
        </w:rPr>
        <w:t>: Bayes Factor that quantifies the relative evidence in favor of the null (</w:t>
      </w:r>
      <w:proofErr w:type="gramStart"/>
      <w:r w:rsidRPr="008307FD">
        <w:rPr>
          <w:rFonts w:eastAsia="Times New Roman" w:cs="Calibri"/>
          <w:bCs/>
          <w:i/>
          <w:iCs/>
          <w:color w:val="000000"/>
          <w:sz w:val="20"/>
          <w:szCs w:val="20"/>
        </w:rPr>
        <w:t>i.e.</w:t>
      </w:r>
      <w:proofErr w:type="gramEnd"/>
      <w:r w:rsidRPr="008307FD">
        <w:rPr>
          <w:rFonts w:eastAsia="Times New Roman" w:cs="Calibri"/>
          <w:bCs/>
          <w:i/>
          <w:iCs/>
          <w:color w:val="000000"/>
          <w:sz w:val="20"/>
          <w:szCs w:val="20"/>
        </w:rPr>
        <w:t xml:space="preserve"> groups do not differ, BF</w:t>
      </w:r>
      <w:r w:rsidRPr="008307FD">
        <w:rPr>
          <w:rFonts w:eastAsia="Times New Roman" w:cs="Calibri"/>
          <w:bCs/>
          <w:i/>
          <w:iCs/>
          <w:color w:val="000000"/>
          <w:sz w:val="20"/>
          <w:szCs w:val="20"/>
          <w:vertAlign w:val="subscript"/>
        </w:rPr>
        <w:t>10</w:t>
      </w:r>
      <w:r w:rsidRPr="008307FD">
        <w:rPr>
          <w:rFonts w:eastAsia="Times New Roman" w:cs="Calibri"/>
          <w:bCs/>
          <w:i/>
          <w:iCs/>
          <w:color w:val="000000"/>
          <w:sz w:val="20"/>
          <w:szCs w:val="20"/>
        </w:rPr>
        <w:t>&lt;1) or the alternative (groups differ, BF</w:t>
      </w:r>
      <w:r w:rsidRPr="008307FD">
        <w:rPr>
          <w:rFonts w:eastAsia="Times New Roman" w:cs="Calibri"/>
          <w:bCs/>
          <w:i/>
          <w:iCs/>
          <w:color w:val="000000"/>
          <w:sz w:val="20"/>
          <w:szCs w:val="20"/>
          <w:vertAlign w:val="subscript"/>
        </w:rPr>
        <w:t>10</w:t>
      </w:r>
      <w:r w:rsidRPr="008307FD">
        <w:rPr>
          <w:rFonts w:eastAsia="Times New Roman" w:cs="Calibri"/>
          <w:bCs/>
          <w:i/>
          <w:iCs/>
          <w:color w:val="000000"/>
          <w:sz w:val="20"/>
          <w:szCs w:val="20"/>
        </w:rPr>
        <w:t>&gt;1) hypothesis, with BF</w:t>
      </w:r>
      <w:r w:rsidRPr="008307FD">
        <w:rPr>
          <w:rFonts w:eastAsia="Times New Roman" w:cs="Calibri"/>
          <w:bCs/>
          <w:i/>
          <w:iCs/>
          <w:color w:val="000000"/>
          <w:sz w:val="20"/>
          <w:szCs w:val="20"/>
          <w:vertAlign w:val="subscript"/>
        </w:rPr>
        <w:t>10</w:t>
      </w:r>
      <w:r w:rsidRPr="008307FD">
        <w:rPr>
          <w:rFonts w:eastAsia="Times New Roman" w:cs="Calibri"/>
          <w:bCs/>
          <w:i/>
          <w:iCs/>
          <w:color w:val="000000"/>
          <w:sz w:val="20"/>
          <w:szCs w:val="20"/>
        </w:rPr>
        <w:t xml:space="preserve"> between 1 and 3 reflecting anecdotal evidence and higher than 100 extreme evidence. </w:t>
      </w:r>
    </w:p>
    <w:p w14:paraId="5FD58039" w14:textId="77777777" w:rsidR="00AA6DB0" w:rsidRPr="00E9319E" w:rsidRDefault="006F5C39" w:rsidP="00440EED">
      <w:pPr>
        <w:spacing w:after="120" w:line="480" w:lineRule="auto"/>
        <w:jc w:val="both"/>
        <w:rPr>
          <w:rFonts w:cs="Arial"/>
          <w:sz w:val="22"/>
          <w:szCs w:val="22"/>
        </w:rPr>
      </w:pPr>
      <w:r w:rsidRPr="00E9319E">
        <w:rPr>
          <w:rFonts w:cs="Arial"/>
          <w:b/>
          <w:sz w:val="22"/>
          <w:szCs w:val="22"/>
        </w:rPr>
        <w:t>Clinical and Neuropsychological Testing:</w:t>
      </w:r>
      <w:r w:rsidRPr="00E9319E">
        <w:rPr>
          <w:rFonts w:cs="Arial"/>
          <w:sz w:val="22"/>
          <w:szCs w:val="22"/>
        </w:rPr>
        <w:t xml:space="preserve"> </w:t>
      </w:r>
      <w:r w:rsidR="00AA6DB0" w:rsidRPr="00E9319E">
        <w:rPr>
          <w:rFonts w:cs="Arial"/>
          <w:sz w:val="22"/>
          <w:szCs w:val="22"/>
        </w:rPr>
        <w:t xml:space="preserve">Verbal IQ was estimated with the Dutch Adult Reading Test </w:t>
      </w:r>
      <w:r w:rsidR="00AA6DB0" w:rsidRPr="00E9319E">
        <w:rPr>
          <w:rFonts w:cs="Arial"/>
          <w:sz w:val="22"/>
          <w:szCs w:val="22"/>
        </w:rPr>
        <w:fldChar w:fldCharType="begin" w:fldLock="1"/>
      </w:r>
      <w:r w:rsidR="00E1002C">
        <w:rPr>
          <w:rFonts w:cs="Arial"/>
          <w:sz w:val="22"/>
          <w:szCs w:val="22"/>
        </w:rPr>
        <w:instrText>ADDIN CSL_CITATION {"citationItems":[{"id":"ITEM-1","itemData":{"ISSN":"0167-9228","PMID":"1877068","abstract":"The construction of the Dutch Adult Reading Test (DART) is described. The DART is the Dutch version of the National Adult Reading Test. Both tests consist of a series of words with an irregular pronunciation. The score on the test is a predictor of premorbid intelligence of brain damaged patients. Furthermore, results of reliability and validation studies with the DART are reported. The main findings, which were obtained with the NART, were replicated by the DART. These findings consist of a high correlation (.85) with verbal intelligence in healthy controls (n = 22) and insensitivity to cerebral deterioration in brain damaged and demented patients (n = 53). The test also appeared to be insensitive to cognitive deterioration in a group of psychotic patients (n = 43).","author":[{"dropping-particle":"","family":"Schmand","given":"B","non-dropping-particle":"","parse-names":false,"suffix":""},{"dropping-particle":"","family":"Bakker","given":"D","non-dropping-particle":"","parse-names":false,"suffix":""},{"dropping-particle":"","family":"Saan","given":"R","non-dropping-particle":"","parse-names":false,"suffix":""},{"dropping-particle":"","family":"Louman","given":"J","non-dropping-particle":"","parse-names":false,"suffix":""}],"container-title":"Tijdschrift voor gerontologie en geriatrie","id":"ITEM-1","issue":"1","issued":{"date-parts":[["1991","2"]]},"page":"15-9","title":"[The Dutch Reading Test for Adults: a measure of premorbid intelligence level].","type":"article-journal","volume":"22"},"uris":["http://www.mendeley.com/documents/?uuid=b2e233b8-4747-4205-930e-c374cb63faa0"]}],"mendeley":{"formattedCitation":"(Schmand, Bakker, Saan, &amp; Louman, 1991)","manualFormatting":"(DART: Schmand, Bakker, Saan, &amp; Louman, 1991)","plainTextFormattedCitation":"(Schmand, Bakker, Saan, &amp; Louman, 1991)","previouslyFormattedCitation":"(Schmand, Bakker, Saan, &amp; Louman, 1991)"},"properties":{"noteIndex":0},"schema":"https://github.com/citation-style-language/schema/raw/master/csl-citation.json"}</w:instrText>
      </w:r>
      <w:r w:rsidR="00AA6DB0" w:rsidRPr="00E9319E">
        <w:rPr>
          <w:rFonts w:cs="Arial"/>
          <w:sz w:val="22"/>
          <w:szCs w:val="22"/>
        </w:rPr>
        <w:fldChar w:fldCharType="separate"/>
      </w:r>
      <w:r w:rsidR="00AA6DB0" w:rsidRPr="00E9319E">
        <w:rPr>
          <w:rFonts w:cs="Arial"/>
          <w:noProof/>
          <w:sz w:val="22"/>
          <w:szCs w:val="22"/>
        </w:rPr>
        <w:t>(DART: Schmand, Bakker, Saan, &amp; Louman, 1991)</w:t>
      </w:r>
      <w:r w:rsidR="00AA6DB0" w:rsidRPr="00E9319E">
        <w:rPr>
          <w:rFonts w:cs="Arial"/>
          <w:sz w:val="22"/>
          <w:szCs w:val="22"/>
        </w:rPr>
        <w:fldChar w:fldCharType="end"/>
      </w:r>
      <w:r w:rsidR="00AA6DB0" w:rsidRPr="00E9319E">
        <w:rPr>
          <w:rFonts w:cs="Arial"/>
          <w:sz w:val="22"/>
          <w:szCs w:val="22"/>
        </w:rPr>
        <w:t xml:space="preserve">. The WAIS digit-span </w:t>
      </w:r>
      <w:r w:rsidR="00AA6DB0" w:rsidRPr="00E9319E">
        <w:rPr>
          <w:rFonts w:cs="Arial"/>
          <w:sz w:val="22"/>
          <w:szCs w:val="22"/>
        </w:rPr>
        <w:fldChar w:fldCharType="begin" w:fldLock="1"/>
      </w:r>
      <w:r w:rsidR="00E1002C">
        <w:rPr>
          <w:rFonts w:cs="Arial"/>
          <w:sz w:val="22"/>
          <w:szCs w:val="22"/>
        </w:rPr>
        <w:instrText>ADDIN CSL_CITATION {"citationItems":[{"id":"ITEM-1","itemData":{"author":[{"dropping-particle":"","family":"Wechsler","given":"D","non-dropping-particle":"","parse-names":false,"suffix":""}],"container-title":"The Psychological Corp, San Antonio","id":"ITEM-1","issued":{"date-parts":[["1981"]]},"title":"WAIS-R Manual","type":"article-journal"},"uris":["http://www.mendeley.com/documents/?uuid=dc9807f6-5172-4810-9f76-ff1dee5f10c7"]}],"mendeley":{"formattedCitation":"(Wechsler, 1981)","plainTextFormattedCitation":"(Wechsler, 1981)","previouslyFormattedCitation":"(Wechsler, 1981)"},"properties":{"noteIndex":0},"schema":"https://github.com/citation-style-language/schema/raw/master/csl-citation.json"}</w:instrText>
      </w:r>
      <w:r w:rsidR="00AA6DB0" w:rsidRPr="00E9319E">
        <w:rPr>
          <w:rFonts w:cs="Arial"/>
          <w:sz w:val="22"/>
          <w:szCs w:val="22"/>
        </w:rPr>
        <w:fldChar w:fldCharType="separate"/>
      </w:r>
      <w:r w:rsidR="00463B50" w:rsidRPr="00E9319E">
        <w:rPr>
          <w:rFonts w:cs="Arial"/>
          <w:noProof/>
          <w:sz w:val="22"/>
          <w:szCs w:val="22"/>
        </w:rPr>
        <w:t>(Wechsler, 1981)</w:t>
      </w:r>
      <w:r w:rsidR="00AA6DB0" w:rsidRPr="00E9319E">
        <w:rPr>
          <w:rFonts w:cs="Arial"/>
          <w:sz w:val="22"/>
          <w:szCs w:val="22"/>
        </w:rPr>
        <w:fldChar w:fldCharType="end"/>
      </w:r>
      <w:r w:rsidR="00AA6DB0" w:rsidRPr="00E9319E">
        <w:rPr>
          <w:rFonts w:cs="Arial"/>
          <w:sz w:val="22"/>
          <w:szCs w:val="22"/>
        </w:rPr>
        <w:t xml:space="preserve"> was used to assess general information processing speed. AUD severity was assessed with the AUDIT </w:t>
      </w:r>
      <w:r w:rsidR="00EA0016">
        <w:rPr>
          <w:rFonts w:cs="Arial"/>
          <w:sz w:val="22"/>
          <w:szCs w:val="22"/>
        </w:rPr>
        <w:t>[</w:t>
      </w:r>
      <w:r w:rsidR="00EA0016" w:rsidRPr="00EA0016">
        <w:rPr>
          <w:rFonts w:cs="Arial"/>
          <w:sz w:val="22"/>
          <w:szCs w:val="22"/>
        </w:rPr>
        <w:t>﻿score range of 0–</w:t>
      </w:r>
      <w:r w:rsidR="00EA0016">
        <w:rPr>
          <w:rFonts w:cs="Arial"/>
          <w:sz w:val="22"/>
          <w:szCs w:val="22"/>
        </w:rPr>
        <w:t>4</w:t>
      </w:r>
      <w:r w:rsidR="00EA0016" w:rsidRPr="00EA0016">
        <w:rPr>
          <w:rFonts w:cs="Arial"/>
          <w:sz w:val="22"/>
          <w:szCs w:val="22"/>
        </w:rPr>
        <w:t>0</w:t>
      </w:r>
      <w:r w:rsidR="00EA0016">
        <w:rPr>
          <w:rFonts w:cs="Arial"/>
          <w:sz w:val="22"/>
          <w:szCs w:val="22"/>
        </w:rPr>
        <w:t xml:space="preserve">] </w:t>
      </w:r>
      <w:r w:rsidR="00AA6DB0" w:rsidRPr="00E9319E">
        <w:rPr>
          <w:rFonts w:cs="Arial"/>
          <w:sz w:val="22"/>
          <w:szCs w:val="22"/>
        </w:rPr>
        <w:fldChar w:fldCharType="begin" w:fldLock="1"/>
      </w:r>
      <w:r w:rsidR="00E1002C">
        <w:rPr>
          <w:rFonts w:cs="Arial"/>
          <w:sz w:val="22"/>
          <w:szCs w:val="22"/>
        </w:rPr>
        <w:instrText>ADDIN CSL_CITATION {"citationItems":[{"id":"ITEM-1","itemData":{"ISSN":"0965-2140","PMID":"8329970","abstract":"The Alcohol Use Disorders Identification Test (AUDIT) has been developed from a six-country WHO collaborative project as a screening instrument for hazardous and harmful alcohol consumption. It is a 10-item questionnaire which covers the domains of alcohol consumption, drinking behaviour, and alcohol-related problems. Questions were selected from a 150-item assessment schedule (which was administered to 1888 persons attending representative primary health care facilities) on the basis of their representativeness for these conceptual domains and their perceived usefulness for intervention. Responses to each question are scored from 0 to 4, giving a maximum possible score of 40. Among those diagnosed as having hazardous or harmful alcohol use, 92% had an AUDIT score of 8 or more, and 94% of those with non-hazardous consumption had a score of less than 8. AUDIT provides a simple method of early detection of hazardous and harmful alcohol use in primary health care settings and is the first instrument of its type to be derived on the basis of a cross-national study.","author":[{"dropping-particle":"","family":"Saunders","given":"JB B","non-dropping-particle":"","parse-names":false,"suffix":""},{"dropping-particle":"","family":"Aasland","given":"OG G","non-dropping-particle":"","parse-names":false,"suffix":""},{"dropping-particle":"","family":"Babor","given":"Thomas F","non-dropping-particle":"","parse-names":false,"suffix":""},{"dropping-particle":"","family":"la Fuente","given":"J R","non-dropping-particle":"de","parse-names":false,"suffix":""},{"dropping-particle":"","family":"Grant","given":"M","non-dropping-particle":"","parse-names":false,"suffix":""}],"container-title":"Addiction (Abingdon, England)","id":"ITEM-1","issue":"6","issued":{"date-parts":[["1993","6"]]},"page":"791-804","title":"Development of the Alcohol Use Disorders Identification Test (AUDIT): WHO Collaborative Project on Early Detection of Persons with Harmful Alcohol Consumption--II.","type":"article-journal","volume":"88"},"uris":["http://www.mendeley.com/documents/?uuid=fd78f394-4774-4c18-8932-d34c6034bfeb"]}],"mendeley":{"formattedCitation":"(Saunders et al., 1993)","plainTextFormattedCitation":"(Saunders et al., 1993)","previouslyFormattedCitation":"(Saunders et al., 1993)"},"properties":{"noteIndex":0},"schema":"https://github.com/citation-style-language/schema/raw/master/csl-citation.json"}</w:instrText>
      </w:r>
      <w:r w:rsidR="00AA6DB0" w:rsidRPr="00E9319E">
        <w:rPr>
          <w:rFonts w:cs="Arial"/>
          <w:sz w:val="22"/>
          <w:szCs w:val="22"/>
        </w:rPr>
        <w:fldChar w:fldCharType="separate"/>
      </w:r>
      <w:r w:rsidR="00463B50" w:rsidRPr="00E9319E">
        <w:rPr>
          <w:rFonts w:cs="Arial"/>
          <w:noProof/>
          <w:sz w:val="22"/>
          <w:szCs w:val="22"/>
        </w:rPr>
        <w:t>(Saunders et al., 1993)</w:t>
      </w:r>
      <w:r w:rsidR="00AA6DB0" w:rsidRPr="00E9319E">
        <w:rPr>
          <w:rFonts w:cs="Arial"/>
          <w:sz w:val="22"/>
          <w:szCs w:val="22"/>
        </w:rPr>
        <w:fldChar w:fldCharType="end"/>
      </w:r>
      <w:r w:rsidR="00AA6DB0" w:rsidRPr="00E9319E">
        <w:rPr>
          <w:rFonts w:cs="Arial"/>
          <w:sz w:val="22"/>
          <w:szCs w:val="22"/>
        </w:rPr>
        <w:t xml:space="preserve"> and alcohol craving severity by the five-item Obsessive-Compulsive Drinking Scale </w:t>
      </w:r>
      <w:r w:rsidR="00EA0016">
        <w:rPr>
          <w:rFonts w:cs="Arial"/>
          <w:sz w:val="22"/>
          <w:szCs w:val="22"/>
        </w:rPr>
        <w:t>[</w:t>
      </w:r>
      <w:r w:rsidR="00EA0016" w:rsidRPr="00EA0016">
        <w:rPr>
          <w:rFonts w:cs="Arial"/>
          <w:sz w:val="22"/>
          <w:szCs w:val="22"/>
        </w:rPr>
        <w:t>﻿score range of 0–20</w:t>
      </w:r>
      <w:r w:rsidR="00EA0016">
        <w:rPr>
          <w:rFonts w:cs="Arial"/>
          <w:sz w:val="22"/>
          <w:szCs w:val="22"/>
        </w:rPr>
        <w:t xml:space="preserve">] </w:t>
      </w:r>
      <w:r w:rsidR="00AA6DB0" w:rsidRPr="00E9319E">
        <w:rPr>
          <w:rFonts w:cs="Arial"/>
          <w:sz w:val="22"/>
          <w:szCs w:val="22"/>
        </w:rPr>
        <w:t xml:space="preserve">(OCDS: </w:t>
      </w:r>
      <w:r w:rsidR="00AA6DB0" w:rsidRPr="00E9319E">
        <w:rPr>
          <w:rFonts w:cs="Arial"/>
          <w:sz w:val="22"/>
          <w:szCs w:val="22"/>
        </w:rPr>
        <w:fldChar w:fldCharType="begin" w:fldLock="1"/>
      </w:r>
      <w:r w:rsidR="00E1002C">
        <w:rPr>
          <w:rFonts w:cs="Arial"/>
          <w:sz w:val="22"/>
          <w:szCs w:val="22"/>
        </w:rPr>
        <w:instrText>ADDIN CSL_CITATION {"citationItems":[{"id":"ITEM-1","itemData":{"DOI":"10.1097/01.ALC.0000158844.35608.48","ISBN":"0000158844","ISSN":"01456008","PMID":"15834215","abstract":"BACKGROUND: Currently, there is no agreement among researchers on the definition of craving and its underlying theoretical model. The Obsessive-Compulsive Drinking Scale (OCDS) seems to measure certain aspects of craving, but its theoretical basis remains unclear. The aim of this study was to investigate the structure of alcohol craving, using OCDS data. METHODS: OCDS data from four studies were pooled to obtain a large and heterogeneous sample of 505 participants. All participants were treatment-seeking alcoholics meeting DSM-IV criteria for alcohol dependence. The factor structures of the OCDS previously found were evaluated using confirmatory factor analyses. The goodness of fit of these solutions was compared with those of alternative causal models: an obsessive-compulsive disorder model, an inhibition model, and a cognitive-behavioral model. These alternative models were based on modern theories about craving and were tested in the OCDS data, using structural equation modeling. In this way, the current study replaced simple correlational analysis by a more sophisticated causal way of analyzing the underlying structure of the OCDS items. The best fitting model was selected by comparing the mean discrepancy between the implied and observed matrices of the models. RESULTS: The data showed that the previously reported factor structures had to be rejected. Also, the inhibition model and obsessive-compulsive disorder model did not fit the data. The cognitive-behavioral model showed encouraging fit. Optimizing strategies were applied to further improve the fit of this model, which resulted in a model with close fit to the data. CONCLUSIONS: The causal cognitive-behavioral model proved to be superior. It showed that the OCDS contains many items that do not represent the core concept of craving but instead are indicators for the consequences of craving. From this model, it seems that craving, in a narrow sense, can be reliably assessed with only five items of the OCDS.","author":[{"dropping-particle":"","family":"Wildt","given":"Wencke A.J.M.","non-dropping-particle":"De","parse-names":false,"suffix":""},{"dropping-particle":"","family":"Lehert","given":"Philippe","non-dropping-particle":"","parse-names":false,"suffix":""},{"dropping-particle":"","family":"Schippers","given":"Gerard M.","non-dropping-particle":"","parse-names":false,"suffix":""},{"dropping-particle":"","family":"Nakovics","given":"Helmut","non-dropping-particle":"","parse-names":false,"suffix":""},{"dropping-particle":"","family":"Mann","given":"Karl","non-dropping-particle":"","parse-names":false,"suffix":""},{"dropping-particle":"","family":"Brink","given":"Wim","non-dropping-particle":"Van Den","parse-names":false,"suffix":""}],"container-title":"Alcoholism: Clinical and Experimental Research","id":"ITEM-1","issue":"4","issued":{"date-parts":[["2005","4","1"]]},"page":"509-516","publisher":"Wiley/Blackwell (10.1111)","title":"Investigating the structure of craving using structural equation modeling in analysis of the obsessive-compulsive drinking scale: A multinational study","type":"article-journal","volume":"29"},"uris":["http://www.mendeley.com/documents/?uuid=cf33c91c-1cc4-3203-a5d8-63240dcec6d2"]}],"mendeley":{"formattedCitation":"(De Wildt et al., 2005)","manualFormatting":"De Wildt et al., 2005)","plainTextFormattedCitation":"(De Wildt et al., 2005)","previouslyFormattedCitation":"(De Wildt et al., 2005)"},"properties":{"noteIndex":0},"schema":"https://github.com/citation-style-language/schema/raw/master/csl-citation.json"}</w:instrText>
      </w:r>
      <w:r w:rsidR="00AA6DB0" w:rsidRPr="00E9319E">
        <w:rPr>
          <w:rFonts w:cs="Arial"/>
          <w:sz w:val="22"/>
          <w:szCs w:val="22"/>
        </w:rPr>
        <w:fldChar w:fldCharType="separate"/>
      </w:r>
      <w:r w:rsidR="00AA6DB0" w:rsidRPr="00E9319E">
        <w:rPr>
          <w:rFonts w:cs="Arial"/>
          <w:noProof/>
          <w:sz w:val="22"/>
          <w:szCs w:val="22"/>
        </w:rPr>
        <w:t>De Wildt et al., 2005)</w:t>
      </w:r>
      <w:r w:rsidR="00AA6DB0" w:rsidRPr="00E9319E">
        <w:rPr>
          <w:rFonts w:cs="Arial"/>
          <w:sz w:val="22"/>
          <w:szCs w:val="22"/>
        </w:rPr>
        <w:fldChar w:fldCharType="end"/>
      </w:r>
      <w:r w:rsidR="00AA6DB0" w:rsidRPr="00E9319E">
        <w:rPr>
          <w:rFonts w:cs="Arial"/>
          <w:sz w:val="22"/>
          <w:szCs w:val="22"/>
        </w:rPr>
        <w:t xml:space="preserve">. </w:t>
      </w:r>
      <w:r w:rsidR="00440EED" w:rsidRPr="00440EED">
        <w:rPr>
          <w:rFonts w:cs="Arial"/>
          <w:sz w:val="22"/>
          <w:szCs w:val="22"/>
        </w:rPr>
        <w:t xml:space="preserve">Lifetime alcohol intake was </w:t>
      </w:r>
      <w:r w:rsidR="00440EED">
        <w:rPr>
          <w:rFonts w:cs="Arial"/>
          <w:sz w:val="22"/>
          <w:szCs w:val="22"/>
        </w:rPr>
        <w:lastRenderedPageBreak/>
        <w:t xml:space="preserve">estimated by </w:t>
      </w:r>
      <w:r w:rsidR="00440EED" w:rsidRPr="00440EED">
        <w:rPr>
          <w:rFonts w:cs="Arial"/>
          <w:sz w:val="22"/>
          <w:szCs w:val="22"/>
        </w:rPr>
        <w:t>multiplying the total number of</w:t>
      </w:r>
      <w:r w:rsidR="00440EED">
        <w:rPr>
          <w:rFonts w:cs="Arial"/>
          <w:sz w:val="22"/>
          <w:szCs w:val="22"/>
        </w:rPr>
        <w:t xml:space="preserve"> </w:t>
      </w:r>
      <w:r w:rsidR="00440EED" w:rsidRPr="00440EED">
        <w:rPr>
          <w:rFonts w:cs="Arial"/>
          <w:sz w:val="22"/>
          <w:szCs w:val="22"/>
        </w:rPr>
        <w:t>drinks</w:t>
      </w:r>
      <w:r w:rsidR="00440EED">
        <w:rPr>
          <w:rFonts w:cs="Arial"/>
          <w:sz w:val="22"/>
          <w:szCs w:val="22"/>
        </w:rPr>
        <w:t xml:space="preserve">, </w:t>
      </w:r>
      <w:r w:rsidR="00AA6DB0" w:rsidRPr="00E9319E">
        <w:rPr>
          <w:rFonts w:cs="Arial"/>
          <w:sz w:val="22"/>
          <w:szCs w:val="22"/>
        </w:rPr>
        <w:t xml:space="preserve">obtained using the Lifetime Drinking History questionnaire </w:t>
      </w:r>
      <w:r w:rsidR="00AA6DB0" w:rsidRPr="00E9319E">
        <w:rPr>
          <w:rFonts w:cs="Arial"/>
          <w:sz w:val="22"/>
          <w:szCs w:val="22"/>
        </w:rPr>
        <w:fldChar w:fldCharType="begin" w:fldLock="1"/>
      </w:r>
      <w:r w:rsidR="00E1002C">
        <w:rPr>
          <w:rFonts w:cs="Arial"/>
          <w:sz w:val="22"/>
          <w:szCs w:val="22"/>
        </w:rPr>
        <w:instrText>ADDIN CSL_CITATION {"citationItems":[{"id":"ITEM-1","itemData":{"ISBN":"0096-882X","ISSN":"0096-882X","PMID":"7182675","abstract":"83 16-58 yr olds with alcohol-related problems were administered the Michigan Alcoholism Screening Test (MAST) and the Lifetime Drinking History (LDH) on 2 occasions that averaged 4.8 mo apart. Test-retest estimates of internal consistency reliability for the MAST were high. Ss were more consistent in reporting objective events or consequences of drinking than subjective recognition of alcohol misuse. Aggregate indices from the LDH achieved reasonably high reliability. Recall accuracy was lower for the drinking phase that immediately preceded entry into treatment. Inconsistent reporting of alcohol consumption was correlated with a lower level of social stability and greater degree of neuropsychological impairment. (24 ref) (PsycINFO Database Record (c) 2012 APA, all rights reserved)","author":[{"dropping-particle":"","family":"Skinner","given":"Harvey a.","non-dropping-particle":"","parse-names":false,"suffix":""},{"dropping-particle":"","family":"Sheu","given":"Wen-jenn J","non-dropping-particle":"","parse-names":false,"suffix":""}],"container-title":"Journal of Studies on Alcohol","id":"ITEM-1","issue":"11","issued":{"date-parts":[["1982","11"]]},"page":"1157-70","title":"Reliability of alcohol use indices. The Lifetime Drinking History and the MAST.","type":"article-journal","volume":"43"},"uris":["http://www.mendeley.com/documents/?uuid=178c12d4-cfeb-48a8-b8aa-30024fafaaf1"]}],"mendeley":{"formattedCitation":"(Skinner &amp; Sheu, 1982)","plainTextFormattedCitation":"(Skinner &amp; Sheu, 1982)","previouslyFormattedCitation":"(Skinner &amp; Sheu, 1982)"},"properties":{"noteIndex":0},"schema":"https://github.com/citation-style-language/schema/raw/master/csl-citation.json"}</w:instrText>
      </w:r>
      <w:r w:rsidR="00AA6DB0" w:rsidRPr="00E9319E">
        <w:rPr>
          <w:rFonts w:cs="Arial"/>
          <w:sz w:val="22"/>
          <w:szCs w:val="22"/>
        </w:rPr>
        <w:fldChar w:fldCharType="separate"/>
      </w:r>
      <w:r w:rsidR="00463B50" w:rsidRPr="00E9319E">
        <w:rPr>
          <w:rFonts w:cs="Arial"/>
          <w:noProof/>
          <w:sz w:val="22"/>
          <w:szCs w:val="22"/>
        </w:rPr>
        <w:t>(Skinner &amp; Sheu, 1982)</w:t>
      </w:r>
      <w:r w:rsidR="00AA6DB0" w:rsidRPr="00E9319E">
        <w:rPr>
          <w:rFonts w:cs="Arial"/>
          <w:sz w:val="22"/>
          <w:szCs w:val="22"/>
        </w:rPr>
        <w:fldChar w:fldCharType="end"/>
      </w:r>
      <w:r w:rsidR="00AA6DB0" w:rsidRPr="00E9319E">
        <w:rPr>
          <w:rFonts w:cs="Arial"/>
          <w:sz w:val="22"/>
          <w:szCs w:val="22"/>
        </w:rPr>
        <w:t xml:space="preserve">, </w:t>
      </w:r>
      <w:r w:rsidR="00440EED" w:rsidRPr="00440EED">
        <w:rPr>
          <w:rFonts w:cs="Arial"/>
          <w:sz w:val="22"/>
          <w:szCs w:val="22"/>
        </w:rPr>
        <w:t>with 0.014 (kg pure alcohol in a</w:t>
      </w:r>
      <w:r w:rsidR="00440EED">
        <w:rPr>
          <w:rFonts w:cs="Arial"/>
          <w:sz w:val="22"/>
          <w:szCs w:val="22"/>
        </w:rPr>
        <w:t xml:space="preserve"> </w:t>
      </w:r>
      <w:r w:rsidR="00440EED" w:rsidRPr="00440EED">
        <w:rPr>
          <w:rFonts w:cs="Arial"/>
          <w:sz w:val="22"/>
          <w:szCs w:val="22"/>
        </w:rPr>
        <w:t>standard drink)</w:t>
      </w:r>
      <w:r w:rsidR="00AA6DB0" w:rsidRPr="00E9319E">
        <w:rPr>
          <w:rFonts w:cs="Arial"/>
          <w:sz w:val="22"/>
          <w:szCs w:val="22"/>
        </w:rPr>
        <w:t>. Six months following participation, AUD patients were contacted by telephone to assess relapse rates, defined as &gt;2 days of uncontrolled drinking/gambling.</w:t>
      </w:r>
    </w:p>
    <w:p w14:paraId="57C387D2" w14:textId="77777777" w:rsidR="000F2688" w:rsidRPr="00E9319E" w:rsidRDefault="0046559B" w:rsidP="00E9319E">
      <w:pPr>
        <w:spacing w:after="120" w:line="480" w:lineRule="auto"/>
        <w:ind w:firstLine="567"/>
        <w:jc w:val="both"/>
        <w:rPr>
          <w:sz w:val="22"/>
          <w:szCs w:val="22"/>
        </w:rPr>
      </w:pPr>
      <w:r w:rsidRPr="00E9319E">
        <w:rPr>
          <w:sz w:val="22"/>
          <w:szCs w:val="22"/>
        </w:rPr>
        <w:t xml:space="preserve">Participants were asked to </w:t>
      </w:r>
      <w:r w:rsidRPr="00E9319E">
        <w:rPr>
          <w:rFonts w:cs="Arial"/>
          <w:sz w:val="22"/>
          <w:szCs w:val="22"/>
        </w:rPr>
        <w:t>abstain from eating for three hours prior to the start of the assessments, because of another fMRI task</w:t>
      </w:r>
      <w:r w:rsidRPr="00E9319E">
        <w:rPr>
          <w:sz w:val="22"/>
          <w:szCs w:val="22"/>
        </w:rPr>
        <w:t xml:space="preserve"> </w:t>
      </w:r>
      <w:r w:rsidR="00E1002C">
        <w:rPr>
          <w:sz w:val="22"/>
          <w:szCs w:val="22"/>
        </w:rPr>
        <w:fldChar w:fldCharType="begin" w:fldLock="1"/>
      </w:r>
      <w:r w:rsidR="00E1002C">
        <w:rPr>
          <w:sz w:val="22"/>
          <w:szCs w:val="22"/>
        </w:rPr>
        <w:instrText>ADDIN CSL_CITATION {"citationItems":[{"id":"ITEM-1","itemData":{"DOI":"10.1038/s41598-020-61892-5","author":[{"dropping-particle":"","family":"Timmeren","given":"Tim","non-dropping-particle":"van","parse-names":false,"suffix":""},{"dropping-particle":"","family":"Quail","given":"Stephanie L","non-dropping-particle":"","parse-names":false,"suffix":""},{"dropping-particle":"","family":"Balleine","given":"Bernard W","non-dropping-particle":"","parse-names":false,"suffix":""},{"dropping-particle":"","family":"Geurts","given":"Dirk E M","non-dropping-particle":"","parse-names":false,"suffix":""},{"dropping-particle":"","family":"Goudriaan","given":"Anna E","non-dropping-particle":"","parse-names":false,"suffix":""},{"dropping-particle":"","family":"Holst","given":"Ruth J","non-dropping-particle":"van","parse-names":false,"suffix":""}],"container-title":"Scientific reports","id":"ITEM-1","issue":"4949","issued":{"date-parts":[["2020"]]},"page":"1-12","title":"Intact corticostriatal control of goal-directed action in Alcohol Use Disorder : a Pavlovian-to- instrumental transfer and outcome- devaluation study","type":"article-journal","volume":"10"},"uris":["http://www.mendeley.com/documents/?uuid=67eb2c2c-54b8-429d-b361-b8428e048a0a"]}],"mendeley":{"formattedCitation":"(van Timmeren et al., 2020)","plainTextFormattedCitation":"(van Timmeren et al., 2020)"},"properties":{"noteIndex":0},"schema":"https://github.com/citation-style-language/schema/raw/master/csl-citation.json"}</w:instrText>
      </w:r>
      <w:r w:rsidR="00E1002C">
        <w:rPr>
          <w:sz w:val="22"/>
          <w:szCs w:val="22"/>
        </w:rPr>
        <w:fldChar w:fldCharType="separate"/>
      </w:r>
      <w:r w:rsidR="00E1002C" w:rsidRPr="00E1002C">
        <w:rPr>
          <w:noProof/>
          <w:sz w:val="22"/>
          <w:szCs w:val="22"/>
        </w:rPr>
        <w:t>(van Timmeren et al., 2020)</w:t>
      </w:r>
      <w:r w:rsidR="00E1002C">
        <w:rPr>
          <w:sz w:val="22"/>
          <w:szCs w:val="22"/>
        </w:rPr>
        <w:fldChar w:fldCharType="end"/>
      </w:r>
      <w:r w:rsidR="00E1002C">
        <w:rPr>
          <w:sz w:val="22"/>
          <w:szCs w:val="22"/>
        </w:rPr>
        <w:t xml:space="preserve"> </w:t>
      </w:r>
      <w:r w:rsidRPr="00E9319E">
        <w:rPr>
          <w:sz w:val="22"/>
          <w:szCs w:val="22"/>
        </w:rPr>
        <w:t xml:space="preserve">that involved earning snack foods. </w:t>
      </w:r>
    </w:p>
    <w:p w14:paraId="796E2B81" w14:textId="77777777" w:rsidR="00433E00" w:rsidRPr="00E9319E" w:rsidRDefault="00433E00" w:rsidP="00E9319E">
      <w:pPr>
        <w:spacing w:after="120" w:line="480" w:lineRule="auto"/>
        <w:jc w:val="both"/>
        <w:rPr>
          <w:b/>
          <w:sz w:val="22"/>
          <w:szCs w:val="22"/>
          <w:u w:val="single"/>
        </w:rPr>
      </w:pPr>
      <w:r w:rsidRPr="00E9319E">
        <w:rPr>
          <w:b/>
          <w:sz w:val="22"/>
          <w:szCs w:val="22"/>
          <w:u w:val="single"/>
        </w:rPr>
        <w:t>Study 2</w:t>
      </w:r>
    </w:p>
    <w:p w14:paraId="1C54D6D7" w14:textId="77777777" w:rsidR="000F2688" w:rsidRPr="00E9319E" w:rsidRDefault="000F2688" w:rsidP="00E9319E">
      <w:pPr>
        <w:spacing w:after="120" w:line="480" w:lineRule="auto"/>
        <w:jc w:val="both"/>
        <w:rPr>
          <w:b/>
          <w:sz w:val="22"/>
          <w:szCs w:val="22"/>
        </w:rPr>
      </w:pPr>
      <w:r w:rsidRPr="00E9319E">
        <w:rPr>
          <w:b/>
          <w:sz w:val="22"/>
          <w:szCs w:val="22"/>
        </w:rPr>
        <w:t>Participants</w:t>
      </w:r>
    </w:p>
    <w:p w14:paraId="71322898" w14:textId="67C07604" w:rsidR="000F2688" w:rsidRDefault="000F2688" w:rsidP="00E9319E">
      <w:pPr>
        <w:spacing w:after="120" w:line="480" w:lineRule="auto"/>
        <w:jc w:val="both"/>
        <w:rPr>
          <w:sz w:val="22"/>
          <w:szCs w:val="22"/>
        </w:rPr>
      </w:pPr>
      <w:r w:rsidRPr="00E9319E">
        <w:rPr>
          <w:sz w:val="22"/>
          <w:szCs w:val="22"/>
        </w:rPr>
        <w:t xml:space="preserve">We included 24 GD patients and 22 controls in our analyses; data were collected for 26 </w:t>
      </w:r>
      <w:r w:rsidR="00365B0D">
        <w:rPr>
          <w:sz w:val="22"/>
          <w:szCs w:val="22"/>
        </w:rPr>
        <w:t>G</w:t>
      </w:r>
      <w:r w:rsidRPr="00E9319E">
        <w:rPr>
          <w:sz w:val="22"/>
          <w:szCs w:val="22"/>
        </w:rPr>
        <w:t xml:space="preserve">D patients and 23 controls, but three (two GD patients and one control) were excluded because of excessive motion (&gt;3.5mm/degrees movement from reference scan). Patients with GD were </w:t>
      </w:r>
      <w:r w:rsidRPr="00E9319E">
        <w:rPr>
          <w:rFonts w:cs="Arial"/>
          <w:sz w:val="22"/>
          <w:szCs w:val="22"/>
        </w:rPr>
        <w:t xml:space="preserve">recruited from a local addiction treatment </w:t>
      </w:r>
      <w:r w:rsidRPr="00E9319E">
        <w:rPr>
          <w:rFonts w:cs="Arial"/>
          <w:noProof/>
          <w:sz w:val="22"/>
          <w:szCs w:val="22"/>
        </w:rPr>
        <w:t>centre</w:t>
      </w:r>
      <w:r w:rsidRPr="00E9319E">
        <w:rPr>
          <w:rFonts w:cs="Arial"/>
          <w:sz w:val="22"/>
          <w:szCs w:val="22"/>
        </w:rPr>
        <w:t xml:space="preserve"> (</w:t>
      </w:r>
      <w:proofErr w:type="spellStart"/>
      <w:r w:rsidRPr="00E9319E">
        <w:rPr>
          <w:rFonts w:cs="Arial"/>
          <w:sz w:val="22"/>
          <w:szCs w:val="22"/>
        </w:rPr>
        <w:t>Jellinek</w:t>
      </w:r>
      <w:proofErr w:type="spellEnd"/>
      <w:r w:rsidRPr="00E9319E">
        <w:rPr>
          <w:rFonts w:cs="Arial"/>
          <w:sz w:val="22"/>
          <w:szCs w:val="22"/>
        </w:rPr>
        <w:t xml:space="preserve">, Amsterdam) and </w:t>
      </w:r>
      <w:r w:rsidRPr="00E9319E">
        <w:rPr>
          <w:sz w:val="22"/>
          <w:szCs w:val="22"/>
        </w:rPr>
        <w:t xml:space="preserve">included if they were diagnosed with and started therapy for GD. </w:t>
      </w:r>
      <w:r w:rsidRPr="00E9319E">
        <w:rPr>
          <w:rFonts w:cs="Arial"/>
          <w:sz w:val="22"/>
          <w:szCs w:val="22"/>
        </w:rPr>
        <w:t xml:space="preserve">All subjects underwent the MINI structured psychiatric interview </w:t>
      </w:r>
      <w:r w:rsidRPr="00E9319E">
        <w:rPr>
          <w:rFonts w:cs="Arial"/>
          <w:sz w:val="22"/>
          <w:szCs w:val="22"/>
        </w:rPr>
        <w:fldChar w:fldCharType="begin" w:fldLock="1"/>
      </w:r>
      <w:r w:rsidR="00E1002C">
        <w:rPr>
          <w:rFonts w:cs="Arial"/>
          <w:sz w:val="22"/>
          <w:szCs w:val="22"/>
        </w:rPr>
        <w:instrText>ADDIN CSL_CITATION {"citationItems":[{"id":"ITEM-1","itemData":{"author":[{"dropping-particle":"","family":"Sheehan","given":"D","non-dropping-particle":"","parse-names":false,"suffix":""},{"dropping-particle":"","family":"Lecrubier","given":"Y","non-dropping-particle":"","parse-names":false,"suffix":""},{"dropping-particle":"","family":"Sheehan","given":"KH","non-dropping-particle":"","parse-names":false,"suffix":""}],"container-title":"J Clin Psychiatry","id":"ITEM-1","issued":{"date-parts":[["1998"]]},"page":"22-33","title":"Diagnostic psychiatric interview for DSM-IV and ICD-10","type":"article-journal","volume":"59"},"uris":["http://www.mendeley.com/documents/?uuid=f3d73752-ab6a-3528-94d2-54901a33e925"]}],"mendeley":{"formattedCitation":"(Sheehan, Lecrubier, &amp; Sheehan, 1998)","plainTextFormattedCitation":"(Sheehan, Lecrubier, &amp; Sheehan, 1998)","previouslyFormattedCitation":"(Sheehan, Lecrubier, &amp; Sheehan, 1998)"},"properties":{"noteIndex":0},"schema":"https://github.com/citation-style-language/schema/raw/master/csl-citation.json"}</w:instrText>
      </w:r>
      <w:r w:rsidRPr="00E9319E">
        <w:rPr>
          <w:rFonts w:cs="Arial"/>
          <w:sz w:val="22"/>
          <w:szCs w:val="22"/>
        </w:rPr>
        <w:fldChar w:fldCharType="separate"/>
      </w:r>
      <w:r w:rsidR="00463B50" w:rsidRPr="00E9319E">
        <w:rPr>
          <w:rFonts w:cs="Arial"/>
          <w:noProof/>
          <w:sz w:val="22"/>
          <w:szCs w:val="22"/>
        </w:rPr>
        <w:t>(Sheehan, Lecrubier, &amp; Sheehan, 1998)</w:t>
      </w:r>
      <w:r w:rsidRPr="00E9319E">
        <w:rPr>
          <w:rFonts w:cs="Arial"/>
          <w:sz w:val="22"/>
          <w:szCs w:val="22"/>
        </w:rPr>
        <w:fldChar w:fldCharType="end"/>
      </w:r>
      <w:r w:rsidRPr="00E9319E">
        <w:rPr>
          <w:rFonts w:cs="Arial"/>
          <w:sz w:val="22"/>
          <w:szCs w:val="22"/>
        </w:rPr>
        <w:t xml:space="preserve">, to confirm the absence of psychiatric disorders (except for DSM-5 GD in the GD patient group). </w:t>
      </w:r>
      <w:r w:rsidRPr="00E9319E">
        <w:rPr>
          <w:sz w:val="22"/>
          <w:szCs w:val="22"/>
        </w:rPr>
        <w:t>Inclusion and exclusion criteria were furthermore identical to Study 1. One patient tested positive on THC use but was included for further analysis because drug use occurred &gt;72 hours before inclusion</w:t>
      </w:r>
      <w:r w:rsidR="006F5C39" w:rsidRPr="00E9319E">
        <w:rPr>
          <w:sz w:val="22"/>
          <w:szCs w:val="22"/>
        </w:rPr>
        <w:t xml:space="preserve"> and the absence of (a history of) marihuana dependence was further verified by the psychiatric interview</w:t>
      </w:r>
      <w:r w:rsidRPr="00E9319E">
        <w:rPr>
          <w:sz w:val="22"/>
          <w:szCs w:val="22"/>
        </w:rPr>
        <w:t xml:space="preserve">. </w:t>
      </w:r>
    </w:p>
    <w:p w14:paraId="6141650E" w14:textId="6D830F0A" w:rsidR="00321ECA" w:rsidRPr="00E9319E" w:rsidRDefault="00321ECA" w:rsidP="00321ECA">
      <w:pPr>
        <w:spacing w:after="120" w:line="480" w:lineRule="auto"/>
        <w:jc w:val="both"/>
        <w:rPr>
          <w:sz w:val="22"/>
          <w:szCs w:val="22"/>
        </w:rPr>
      </w:pPr>
      <w:r>
        <w:rPr>
          <w:color w:val="000000"/>
          <w:sz w:val="22"/>
          <w:szCs w:val="22"/>
        </w:rPr>
        <w:t>GD patients were asked about their preferred forms of gambling</w:t>
      </w:r>
      <w:r w:rsidR="006515DE">
        <w:rPr>
          <w:color w:val="000000"/>
          <w:sz w:val="22"/>
          <w:szCs w:val="22"/>
        </w:rPr>
        <w:t xml:space="preserve"> (slot machines, casino games, internet gambling, lotteries, card games or sports betting)</w:t>
      </w:r>
      <w:r>
        <w:rPr>
          <w:color w:val="000000"/>
          <w:sz w:val="22"/>
          <w:szCs w:val="22"/>
        </w:rPr>
        <w:t xml:space="preserve">. </w:t>
      </w:r>
      <w:r w:rsidR="00DB2022">
        <w:rPr>
          <w:color w:val="000000"/>
          <w:sz w:val="22"/>
          <w:szCs w:val="22"/>
        </w:rPr>
        <w:t>Out of all GD patients, only four did not select either slot machines or casino games (with n=14 selecting slot machines, n=6 casino chance games and n=4 both). We only report how many (did not) select slot machines or casino games as preferred option b</w:t>
      </w:r>
      <w:r w:rsidR="006515DE">
        <w:rPr>
          <w:color w:val="000000"/>
          <w:sz w:val="22"/>
          <w:szCs w:val="22"/>
        </w:rPr>
        <w:t xml:space="preserve">ecause </w:t>
      </w:r>
      <w:r w:rsidR="00DB2022">
        <w:rPr>
          <w:color w:val="000000"/>
          <w:sz w:val="22"/>
          <w:szCs w:val="22"/>
        </w:rPr>
        <w:t xml:space="preserve">of </w:t>
      </w:r>
      <w:r w:rsidR="0090447A">
        <w:rPr>
          <w:color w:val="000000"/>
          <w:sz w:val="22"/>
          <w:szCs w:val="22"/>
        </w:rPr>
        <w:t xml:space="preserve">the </w:t>
      </w:r>
      <w:r w:rsidR="00DB2022">
        <w:rPr>
          <w:color w:val="000000"/>
          <w:sz w:val="22"/>
          <w:szCs w:val="22"/>
        </w:rPr>
        <w:t xml:space="preserve">direct relevance for the results (the </w:t>
      </w:r>
      <w:r w:rsidR="0090447A">
        <w:rPr>
          <w:color w:val="000000"/>
          <w:sz w:val="22"/>
          <w:szCs w:val="22"/>
        </w:rPr>
        <w:t xml:space="preserve">image set used in the task </w:t>
      </w:r>
      <w:r w:rsidR="0090447A">
        <w:rPr>
          <w:color w:val="000000"/>
          <w:sz w:val="22"/>
          <w:szCs w:val="22"/>
        </w:rPr>
        <w:lastRenderedPageBreak/>
        <w:t>contained pictures of slot machines and casino games</w:t>
      </w:r>
      <w:r w:rsidR="00DB2022">
        <w:rPr>
          <w:color w:val="000000"/>
          <w:sz w:val="22"/>
          <w:szCs w:val="22"/>
        </w:rPr>
        <w:t>)</w:t>
      </w:r>
      <w:r w:rsidR="0090447A">
        <w:rPr>
          <w:color w:val="000000"/>
          <w:sz w:val="22"/>
          <w:szCs w:val="22"/>
        </w:rPr>
        <w:t xml:space="preserve"> and </w:t>
      </w:r>
      <w:r w:rsidR="00DB2022">
        <w:rPr>
          <w:color w:val="000000"/>
          <w:sz w:val="22"/>
          <w:szCs w:val="22"/>
        </w:rPr>
        <w:t xml:space="preserve">because </w:t>
      </w:r>
      <w:r w:rsidR="006515DE">
        <w:rPr>
          <w:color w:val="000000"/>
          <w:sz w:val="22"/>
          <w:szCs w:val="22"/>
        </w:rPr>
        <w:t xml:space="preserve">most </w:t>
      </w:r>
      <w:r w:rsidR="0090447A">
        <w:rPr>
          <w:color w:val="000000"/>
          <w:sz w:val="22"/>
          <w:szCs w:val="22"/>
        </w:rPr>
        <w:t xml:space="preserve">participants </w:t>
      </w:r>
      <w:r w:rsidR="006515DE">
        <w:rPr>
          <w:color w:val="000000"/>
          <w:sz w:val="22"/>
          <w:szCs w:val="22"/>
        </w:rPr>
        <w:t xml:space="preserve">selected more than one form of </w:t>
      </w:r>
      <w:r w:rsidR="00DB2022">
        <w:rPr>
          <w:color w:val="000000"/>
          <w:sz w:val="22"/>
          <w:szCs w:val="22"/>
        </w:rPr>
        <w:t xml:space="preserve">gambling. </w:t>
      </w:r>
    </w:p>
    <w:p w14:paraId="5D7C6BE4" w14:textId="77777777" w:rsidR="002555E8" w:rsidRDefault="002555E8" w:rsidP="00E9319E">
      <w:pPr>
        <w:spacing w:after="120" w:line="480" w:lineRule="auto"/>
        <w:jc w:val="both"/>
        <w:rPr>
          <w:sz w:val="22"/>
          <w:szCs w:val="22"/>
        </w:rPr>
      </w:pPr>
    </w:p>
    <w:p w14:paraId="597B945D" w14:textId="7F7281EB" w:rsidR="000F2688" w:rsidRDefault="006F5C39" w:rsidP="00E9319E">
      <w:pPr>
        <w:spacing w:after="120" w:line="480" w:lineRule="auto"/>
        <w:jc w:val="both"/>
        <w:rPr>
          <w:sz w:val="22"/>
          <w:szCs w:val="22"/>
        </w:rPr>
      </w:pPr>
      <w:r w:rsidRPr="00E9319E">
        <w:rPr>
          <w:rFonts w:cs="Arial"/>
          <w:b/>
          <w:sz w:val="22"/>
          <w:szCs w:val="22"/>
        </w:rPr>
        <w:t>Clinical and Neuropsychological Testing:</w:t>
      </w:r>
      <w:r w:rsidRPr="00E9319E">
        <w:rPr>
          <w:rFonts w:cs="Arial"/>
          <w:sz w:val="22"/>
          <w:szCs w:val="22"/>
        </w:rPr>
        <w:t xml:space="preserve"> </w:t>
      </w:r>
      <w:r w:rsidR="000F2688" w:rsidRPr="00E9319E">
        <w:rPr>
          <w:sz w:val="22"/>
          <w:szCs w:val="22"/>
        </w:rPr>
        <w:t xml:space="preserve">The past-12-month Problem Gambling Severity Index (PGSI; </w:t>
      </w:r>
      <w:r w:rsidR="000F2688" w:rsidRPr="00E9319E">
        <w:rPr>
          <w:sz w:val="22"/>
          <w:szCs w:val="22"/>
        </w:rPr>
        <w:fldChar w:fldCharType="begin" w:fldLock="1"/>
      </w:r>
      <w:r w:rsidR="00E1002C">
        <w:rPr>
          <w:sz w:val="22"/>
          <w:szCs w:val="22"/>
        </w:rPr>
        <w:instrText>ADDIN CSL_CITATION {"citationItems":[{"id":"ITEM-1","itemData":{"DOI":"10.1007/s10899-010-9224-y","ISBN":"00221465","ISSN":"1573-3602","PMID":"20978826","author":[{"dropping-particle":"","family":"Ferris","given":"Jackie","non-dropping-particle":"","parse-names":false,"suffix":""},{"dropping-particle":"","family":"Wynne","given":"Harold","non-dropping-particle":"","parse-names":false,"suffix":""}],"container-title":"Canadian Centre on Substance Abuse","id":"ITEM-1","issued":{"date-parts":[["2001"]]},"publisher-place":"Ottawa","title":"The Canadian Problem Gambling Index: Final report","type":"report"},"uris":["http://www.mendeley.com/documents/?uuid=ddc974e9-e258-3c18-b4e2-5843ba658d80","http://www.mendeley.com/documents/?uuid=bc51c103-a4da-471f-9a4d-b5d0c2264842"]}],"mendeley":{"formattedCitation":"(Ferris &amp; Wynne, 2001)","manualFormatting":"Ferris and Wynne, 2001)","plainTextFormattedCitation":"(Ferris &amp; Wynne, 2001)","previouslyFormattedCitation":"(Ferris &amp; Wynne, 2001)"},"properties":{"noteIndex":0},"schema":"https://github.com/citation-style-language/schema/raw/master/csl-citation.json"}</w:instrText>
      </w:r>
      <w:r w:rsidR="000F2688" w:rsidRPr="00E9319E">
        <w:rPr>
          <w:sz w:val="22"/>
          <w:szCs w:val="22"/>
        </w:rPr>
        <w:fldChar w:fldCharType="separate"/>
      </w:r>
      <w:r w:rsidR="000F2688" w:rsidRPr="00E9319E">
        <w:rPr>
          <w:noProof/>
          <w:sz w:val="22"/>
          <w:szCs w:val="22"/>
        </w:rPr>
        <w:t>Ferris and Wynne, 2001)</w:t>
      </w:r>
      <w:r w:rsidR="000F2688" w:rsidRPr="00E9319E">
        <w:rPr>
          <w:sz w:val="22"/>
          <w:szCs w:val="22"/>
        </w:rPr>
        <w:fldChar w:fldCharType="end"/>
      </w:r>
      <w:r w:rsidR="000F2688" w:rsidRPr="00E9319E">
        <w:rPr>
          <w:sz w:val="22"/>
          <w:szCs w:val="22"/>
        </w:rPr>
        <w:t xml:space="preserve"> and the Gamblers’ Beliefs Questionnaire (GBQ; </w:t>
      </w:r>
      <w:r w:rsidR="000F2688" w:rsidRPr="00E9319E">
        <w:rPr>
          <w:sz w:val="22"/>
          <w:szCs w:val="22"/>
        </w:rPr>
        <w:fldChar w:fldCharType="begin" w:fldLock="1"/>
      </w:r>
      <w:r w:rsidR="00E1002C">
        <w:rPr>
          <w:sz w:val="22"/>
          <w:szCs w:val="22"/>
        </w:rPr>
        <w:instrText>ADDIN CSL_CITATION {"citationItems":[{"id":"ITEM-1","itemData":{"ISSN":"0893-164X","PMID":"12079253","abstract":"The Gamblers' Beliefs Questionnaire (GBQ) is a self-report measure of gamblers' cognitive distortions. GBQ test items were constructed on the basis of theory, empirical evidence, and expert review. Four hundred three adults completed the initial set of items, and 21 items were selected to make up the final GBQ. The factor structure of the GBQ consisted of 2 closely related factors: Luck/Perseverance and Illusion of Control. The full scale showed good internal consistency (alpha = .92) and adequate test-retest reliability (r = .77). Problem and pathological gamblers scored higher than nonproblem gamblers on the GBQ and its factors. GBQ scores were moderately correlated with the duration of gambling sessions among problem and pathological gamblers, and there was no relationship between GBQ scores and social desirability.","author":[{"dropping-particle":"","family":"Steenbergh","given":"Timothy A","non-dropping-particle":"","parse-names":false,"suffix":""},{"dropping-particle":"","family":"Meyers","given":"Andrew W","non-dropping-particle":"","parse-names":false,"suffix":""},{"dropping-particle":"","family":"May","given":"Ryan K","non-dropping-particle":"","parse-names":false,"suffix":""},{"dropping-particle":"","family":"Whelan","given":"James P","non-dropping-particle":"","parse-names":false,"suffix":""}],"container-title":"Psychology of addictive behaviors : journal of the Society of Psychologists in Addictive Behaviors","id":"ITEM-1","issue":"2","issued":{"date-parts":[["2002","6"]]},"page":"143-9","title":"Development and validation of the Gamblers' Beliefs Questionnaire.","type":"article-journal","volume":"16"},"uris":["http://www.mendeley.com/documents/?uuid=8db83bc1-c116-4ab3-92a1-5eccb59fe5e8"]}],"mendeley":{"formattedCitation":"(Steenbergh, Meyers, May, &amp; Whelan, 2002)","manualFormatting":"Steenbergh et al., 2002)","plainTextFormattedCitation":"(Steenbergh, Meyers, May, &amp; Whelan, 2002)","previouslyFormattedCitation":"(Steenbergh, Meyers, May, &amp; Whelan, 2002)"},"properties":{"noteIndex":0},"schema":"https://github.com/citation-style-language/schema/raw/master/csl-citation.json"}</w:instrText>
      </w:r>
      <w:r w:rsidR="000F2688" w:rsidRPr="00E9319E">
        <w:rPr>
          <w:sz w:val="22"/>
          <w:szCs w:val="22"/>
        </w:rPr>
        <w:fldChar w:fldCharType="separate"/>
      </w:r>
      <w:r w:rsidR="000F2688" w:rsidRPr="00E9319E">
        <w:rPr>
          <w:noProof/>
          <w:sz w:val="22"/>
          <w:szCs w:val="22"/>
        </w:rPr>
        <w:t>Steenbergh et al., 2002)</w:t>
      </w:r>
      <w:r w:rsidR="000F2688" w:rsidRPr="00E9319E">
        <w:rPr>
          <w:sz w:val="22"/>
          <w:szCs w:val="22"/>
        </w:rPr>
        <w:fldChar w:fldCharType="end"/>
      </w:r>
      <w:r w:rsidR="000F2688" w:rsidRPr="00E9319E">
        <w:rPr>
          <w:sz w:val="22"/>
          <w:szCs w:val="22"/>
        </w:rPr>
        <w:t xml:space="preserve"> were used to assess GD severity in GD patients. The GBQ contains 21 items (</w:t>
      </w:r>
      <w:proofErr w:type="gramStart"/>
      <w:r w:rsidR="000F2688" w:rsidRPr="00E9319E">
        <w:rPr>
          <w:sz w:val="22"/>
          <w:szCs w:val="22"/>
        </w:rPr>
        <w:t>e.g.</w:t>
      </w:r>
      <w:proofErr w:type="gramEnd"/>
      <w:r w:rsidR="000F2688" w:rsidRPr="00E9319E">
        <w:rPr>
          <w:sz w:val="22"/>
          <w:szCs w:val="22"/>
        </w:rPr>
        <w:t xml:space="preserve"> “My choices or actions affect the game on which I am betting” or “I am pretty accurate at predicting when a ‘win’ will occur”), with higher scores reflecting more gambling related distortions. </w:t>
      </w:r>
    </w:p>
    <w:p w14:paraId="66EF1339" w14:textId="77777777" w:rsidR="002555E8" w:rsidRPr="00E9319E" w:rsidRDefault="002555E8" w:rsidP="00E9319E">
      <w:pPr>
        <w:spacing w:after="120" w:line="480" w:lineRule="auto"/>
        <w:jc w:val="both"/>
        <w:rPr>
          <w:sz w:val="22"/>
          <w:szCs w:val="22"/>
        </w:rPr>
      </w:pPr>
    </w:p>
    <w:p w14:paraId="44F661D6" w14:textId="77777777" w:rsidR="000F2688" w:rsidRPr="00E9319E" w:rsidRDefault="000F2688" w:rsidP="00E9319E">
      <w:pPr>
        <w:spacing w:after="120" w:line="480" w:lineRule="auto"/>
        <w:ind w:firstLine="720"/>
        <w:jc w:val="both"/>
        <w:rPr>
          <w:sz w:val="22"/>
          <w:szCs w:val="22"/>
        </w:rPr>
      </w:pPr>
      <w:r w:rsidRPr="00E9319E">
        <w:rPr>
          <w:rFonts w:cs="Arial"/>
          <w:sz w:val="22"/>
          <w:szCs w:val="22"/>
        </w:rPr>
        <w:t xml:space="preserve">These data </w:t>
      </w:r>
      <w:r w:rsidRPr="00E9319E">
        <w:rPr>
          <w:rFonts w:cs="Arial"/>
          <w:noProof/>
          <w:sz w:val="22"/>
          <w:szCs w:val="22"/>
        </w:rPr>
        <w:t>were collected</w:t>
      </w:r>
      <w:r w:rsidRPr="00E9319E">
        <w:rPr>
          <w:rFonts w:cs="Arial"/>
          <w:sz w:val="22"/>
          <w:szCs w:val="22"/>
        </w:rPr>
        <w:t xml:space="preserve"> as part of </w:t>
      </w:r>
      <w:r w:rsidRPr="00E9319E">
        <w:rPr>
          <w:rFonts w:cs="Arial"/>
          <w:noProof/>
          <w:sz w:val="22"/>
          <w:szCs w:val="22"/>
        </w:rPr>
        <w:t xml:space="preserve">a larger two-day </w:t>
      </w:r>
      <w:r w:rsidRPr="00E9319E">
        <w:rPr>
          <w:rFonts w:cs="Arial"/>
          <w:sz w:val="22"/>
          <w:szCs w:val="22"/>
        </w:rPr>
        <w:t xml:space="preserve">study protocol, including stress manipulation on a separate testing day. The fMRI task was preceded by questionnaires, neuropsychological testing and a reward-related decision making fMRI task and followed by a resting-state fMRI scan </w:t>
      </w:r>
      <w:r w:rsidRPr="00E9319E">
        <w:rPr>
          <w:rFonts w:cs="Arial"/>
          <w:sz w:val="22"/>
          <w:szCs w:val="22"/>
        </w:rPr>
        <w:fldChar w:fldCharType="begin" w:fldLock="1"/>
      </w:r>
      <w:r w:rsidR="00E1002C">
        <w:rPr>
          <w:rFonts w:cs="Arial"/>
          <w:sz w:val="22"/>
          <w:szCs w:val="22"/>
        </w:rPr>
        <w:instrText>ADDIN CSL_CITATION {"citationItems":[{"id":"ITEM-1","itemData":{"DOI":"10.1080/14459795.2018.1449884","ISSN":"1445-9795","author":[{"dropping-particle":"","family":"Timmeren","given":"Tim","non-dropping-particle":"van","parse-names":false,"suffix":""},{"dropping-particle":"","family":"Zhutovsky","given":"Paul","non-dropping-particle":"","parse-names":false,"suffix":""},{"dropping-particle":"","family":"Holst","given":"Ruth J.","non-dropping-particle":"van","parse-names":false,"suffix":""},{"dropping-particle":"","family":"Goudriaan","given":"Anna E.","non-dropping-particle":"","parse-names":false,"suffix":""}],"container-title":"International Gambling Studies","id":"ITEM-1","issue":"2","issued":{"date-parts":[["2018","5","4"]]},"page":"242-258","publisher":"Routledge","title":"Connectivity networks in gambling disorder: a resting-state fMRI study","type":"article-journal","volume":"18"},"uris":["http://www.mendeley.com/documents/?uuid=dc23a965-83b5-4492-b402-a77800637f32"]}],"mendeley":{"formattedCitation":"(van Timmeren, Zhutovsky, van Holst, &amp; Goudriaan, 2018)","manualFormatting":"(reported in van Timmeren, Zhutovsky, van Holst, &amp; Goudriaan, 2018)","plainTextFormattedCitation":"(van Timmeren, Zhutovsky, van Holst, &amp; Goudriaan, 2018)","previouslyFormattedCitation":"(van Timmeren, Zhutovsky, van Holst, &amp; Goudriaan, 2018)"},"properties":{"noteIndex":0},"schema":"https://github.com/citation-style-language/schema/raw/master/csl-citation.json"}</w:instrText>
      </w:r>
      <w:r w:rsidRPr="00E9319E">
        <w:rPr>
          <w:rFonts w:cs="Arial"/>
          <w:sz w:val="22"/>
          <w:szCs w:val="22"/>
        </w:rPr>
        <w:fldChar w:fldCharType="separate"/>
      </w:r>
      <w:r w:rsidRPr="00E9319E">
        <w:rPr>
          <w:rFonts w:cs="Arial"/>
          <w:noProof/>
          <w:sz w:val="22"/>
          <w:szCs w:val="22"/>
        </w:rPr>
        <w:t>(reported in van Timmeren, Zhutovsky, van Holst, &amp; Goudriaan, 2018)</w:t>
      </w:r>
      <w:r w:rsidRPr="00E9319E">
        <w:rPr>
          <w:rFonts w:cs="Arial"/>
          <w:sz w:val="22"/>
          <w:szCs w:val="22"/>
        </w:rPr>
        <w:fldChar w:fldCharType="end"/>
      </w:r>
      <w:r w:rsidRPr="00E9319E">
        <w:rPr>
          <w:rFonts w:cs="Arial"/>
          <w:sz w:val="22"/>
          <w:szCs w:val="22"/>
        </w:rPr>
        <w:t xml:space="preserve">. </w:t>
      </w:r>
      <w:r w:rsidRPr="00E9319E">
        <w:rPr>
          <w:sz w:val="22"/>
          <w:szCs w:val="22"/>
        </w:rPr>
        <w:t xml:space="preserve">Subjects were reimbursed with 100 euros plus additional task earnings. All data was collected between May 2016 and August 2017. The scanner session started </w:t>
      </w:r>
      <w:r w:rsidR="003D6D2B">
        <w:rPr>
          <w:sz w:val="22"/>
          <w:szCs w:val="22"/>
        </w:rPr>
        <w:t xml:space="preserve">in the afternoon </w:t>
      </w:r>
      <w:r w:rsidRPr="00E9319E">
        <w:rPr>
          <w:sz w:val="22"/>
          <w:szCs w:val="22"/>
        </w:rPr>
        <w:t xml:space="preserve">between </w:t>
      </w:r>
      <w:r w:rsidR="003D6D2B">
        <w:rPr>
          <w:sz w:val="22"/>
          <w:szCs w:val="22"/>
        </w:rPr>
        <w:t>1</w:t>
      </w:r>
      <w:r w:rsidRPr="00E9319E">
        <w:rPr>
          <w:sz w:val="22"/>
          <w:szCs w:val="22"/>
        </w:rPr>
        <w:t xml:space="preserve">:50 and </w:t>
      </w:r>
      <w:r w:rsidR="003D6D2B">
        <w:rPr>
          <w:sz w:val="22"/>
          <w:szCs w:val="22"/>
        </w:rPr>
        <w:t>7</w:t>
      </w:r>
      <w:r w:rsidRPr="00E9319E">
        <w:rPr>
          <w:sz w:val="22"/>
          <w:szCs w:val="22"/>
        </w:rPr>
        <w:t xml:space="preserve">:20 </w:t>
      </w:r>
      <w:r w:rsidR="003D6D2B">
        <w:rPr>
          <w:sz w:val="22"/>
          <w:szCs w:val="22"/>
        </w:rPr>
        <w:t>pm</w:t>
      </w:r>
      <w:r w:rsidRPr="00E9319E">
        <w:rPr>
          <w:sz w:val="22"/>
          <w:szCs w:val="22"/>
        </w:rPr>
        <w:t>.</w:t>
      </w:r>
    </w:p>
    <w:tbl>
      <w:tblPr>
        <w:tblW w:w="7503" w:type="dxa"/>
        <w:tblInd w:w="93" w:type="dxa"/>
        <w:tblLook w:val="04A0" w:firstRow="1" w:lastRow="0" w:firstColumn="1" w:lastColumn="0" w:noHBand="0" w:noVBand="1"/>
      </w:tblPr>
      <w:tblGrid>
        <w:gridCol w:w="2601"/>
        <w:gridCol w:w="1403"/>
        <w:gridCol w:w="1403"/>
        <w:gridCol w:w="409"/>
        <w:gridCol w:w="639"/>
        <w:gridCol w:w="409"/>
        <w:gridCol w:w="639"/>
      </w:tblGrid>
      <w:tr w:rsidR="008307FD" w:rsidRPr="008307FD" w14:paraId="055E5D7B" w14:textId="77777777" w:rsidTr="002635E3">
        <w:trPr>
          <w:gridAfter w:val="1"/>
          <w:wAfter w:w="639" w:type="dxa"/>
          <w:trHeight w:val="233"/>
        </w:trPr>
        <w:tc>
          <w:tcPr>
            <w:tcW w:w="5816" w:type="dxa"/>
            <w:gridSpan w:val="4"/>
            <w:tcBorders>
              <w:top w:val="nil"/>
              <w:left w:val="nil"/>
              <w:bottom w:val="single" w:sz="4" w:space="0" w:color="auto"/>
              <w:right w:val="nil"/>
            </w:tcBorders>
            <w:shd w:val="clear" w:color="auto" w:fill="auto"/>
            <w:noWrap/>
            <w:vAlign w:val="bottom"/>
          </w:tcPr>
          <w:p w14:paraId="0E8EBE90" w14:textId="77777777" w:rsidR="008307FD" w:rsidRPr="008307FD" w:rsidRDefault="008307FD" w:rsidP="002635E3">
            <w:pPr>
              <w:spacing w:line="360" w:lineRule="auto"/>
              <w:jc w:val="both"/>
              <w:rPr>
                <w:rFonts w:eastAsia="Times New Roman" w:cs="Calibri"/>
                <w:b/>
                <w:bCs/>
                <w:color w:val="000000"/>
                <w:sz w:val="22"/>
                <w:szCs w:val="22"/>
              </w:rPr>
            </w:pPr>
            <w:r w:rsidRPr="008307FD">
              <w:rPr>
                <w:rFonts w:eastAsia="Times New Roman" w:cs="Calibri"/>
                <w:b/>
                <w:bCs/>
                <w:color w:val="000000"/>
                <w:sz w:val="22"/>
                <w:szCs w:val="22"/>
              </w:rPr>
              <w:t>Supplementary</w:t>
            </w:r>
            <w:r w:rsidRPr="008307FD">
              <w:rPr>
                <w:rFonts w:eastAsia="Times New Roman" w:cs="Calibri"/>
                <w:b/>
                <w:bCs/>
                <w:i/>
                <w:iCs/>
                <w:color w:val="000000"/>
                <w:sz w:val="22"/>
                <w:szCs w:val="22"/>
              </w:rPr>
              <w:t xml:space="preserve"> </w:t>
            </w:r>
            <w:r w:rsidRPr="008307FD">
              <w:rPr>
                <w:rFonts w:eastAsia="Times New Roman" w:cs="Calibri"/>
                <w:b/>
                <w:bCs/>
                <w:color w:val="000000"/>
                <w:sz w:val="22"/>
                <w:szCs w:val="22"/>
              </w:rPr>
              <w:t xml:space="preserve">Table 2. </w:t>
            </w:r>
          </w:p>
        </w:tc>
        <w:tc>
          <w:tcPr>
            <w:tcW w:w="1048" w:type="dxa"/>
            <w:gridSpan w:val="2"/>
            <w:tcBorders>
              <w:top w:val="nil"/>
              <w:left w:val="nil"/>
              <w:bottom w:val="single" w:sz="4" w:space="0" w:color="auto"/>
              <w:right w:val="nil"/>
            </w:tcBorders>
          </w:tcPr>
          <w:p w14:paraId="6A05A809" w14:textId="77777777" w:rsidR="008307FD" w:rsidRPr="008307FD" w:rsidRDefault="008307FD" w:rsidP="002635E3">
            <w:pPr>
              <w:spacing w:line="360" w:lineRule="auto"/>
              <w:jc w:val="both"/>
              <w:rPr>
                <w:rFonts w:eastAsia="Times New Roman" w:cs="Calibri"/>
                <w:b/>
                <w:bCs/>
                <w:color w:val="000000"/>
                <w:sz w:val="22"/>
                <w:szCs w:val="22"/>
              </w:rPr>
            </w:pPr>
          </w:p>
        </w:tc>
      </w:tr>
      <w:tr w:rsidR="008307FD" w:rsidRPr="008307FD" w14:paraId="4F503CF3" w14:textId="77777777" w:rsidTr="002635E3">
        <w:trPr>
          <w:trHeight w:val="340"/>
        </w:trPr>
        <w:tc>
          <w:tcPr>
            <w:tcW w:w="2601" w:type="dxa"/>
            <w:tcBorders>
              <w:top w:val="single" w:sz="4" w:space="0" w:color="auto"/>
              <w:left w:val="nil"/>
              <w:bottom w:val="single" w:sz="4" w:space="0" w:color="auto"/>
              <w:right w:val="nil"/>
            </w:tcBorders>
            <w:shd w:val="clear" w:color="auto" w:fill="auto"/>
            <w:noWrap/>
            <w:vAlign w:val="center"/>
            <w:hideMark/>
          </w:tcPr>
          <w:p w14:paraId="5A39BBE3" w14:textId="77777777" w:rsidR="008307FD" w:rsidRPr="008307FD" w:rsidRDefault="008307FD" w:rsidP="002635E3">
            <w:pPr>
              <w:spacing w:before="60" w:after="60" w:line="360" w:lineRule="auto"/>
              <w:jc w:val="both"/>
              <w:rPr>
                <w:rFonts w:eastAsia="Times New Roman" w:cs="Calibri"/>
                <w:b/>
                <w:bCs/>
                <w:color w:val="000000"/>
                <w:sz w:val="22"/>
                <w:szCs w:val="22"/>
              </w:rPr>
            </w:pPr>
          </w:p>
        </w:tc>
        <w:tc>
          <w:tcPr>
            <w:tcW w:w="1403" w:type="dxa"/>
            <w:tcBorders>
              <w:top w:val="single" w:sz="4" w:space="0" w:color="auto"/>
              <w:left w:val="nil"/>
              <w:bottom w:val="single" w:sz="4" w:space="0" w:color="auto"/>
              <w:right w:val="nil"/>
            </w:tcBorders>
            <w:shd w:val="clear" w:color="auto" w:fill="auto"/>
            <w:noWrap/>
            <w:vAlign w:val="center"/>
            <w:hideMark/>
          </w:tcPr>
          <w:p w14:paraId="795C0CCE" w14:textId="77777777" w:rsidR="008307FD" w:rsidRPr="008307FD" w:rsidRDefault="008307FD" w:rsidP="002635E3">
            <w:pPr>
              <w:spacing w:before="60" w:after="60" w:line="360" w:lineRule="auto"/>
              <w:jc w:val="both"/>
              <w:rPr>
                <w:rFonts w:eastAsia="Times New Roman" w:cs="Calibri"/>
                <w:b/>
                <w:bCs/>
                <w:color w:val="000000"/>
                <w:sz w:val="22"/>
                <w:szCs w:val="22"/>
              </w:rPr>
            </w:pPr>
            <w:r w:rsidRPr="008307FD">
              <w:rPr>
                <w:rFonts w:eastAsia="Times New Roman" w:cs="Calibri"/>
                <w:b/>
                <w:bCs/>
                <w:color w:val="000000"/>
                <w:sz w:val="22"/>
                <w:szCs w:val="22"/>
              </w:rPr>
              <w:t>GD (n=24)</w:t>
            </w:r>
          </w:p>
          <w:p w14:paraId="47DDD62B" w14:textId="77777777" w:rsidR="008307FD" w:rsidRPr="008307FD" w:rsidRDefault="008307FD" w:rsidP="002635E3">
            <w:pPr>
              <w:spacing w:before="60" w:after="60" w:line="360" w:lineRule="auto"/>
              <w:jc w:val="both"/>
              <w:rPr>
                <w:rFonts w:eastAsia="Times New Roman" w:cs="Calibri"/>
                <w:bCs/>
                <w:i/>
                <w:color w:val="000000"/>
                <w:sz w:val="22"/>
                <w:szCs w:val="22"/>
              </w:rPr>
            </w:pPr>
            <w:r w:rsidRPr="008307FD">
              <w:rPr>
                <w:rFonts w:eastAsia="Times New Roman" w:cs="Calibri"/>
                <w:bCs/>
                <w:i/>
                <w:color w:val="000000"/>
                <w:sz w:val="22"/>
                <w:szCs w:val="22"/>
              </w:rPr>
              <w:t>Mean (SD)</w:t>
            </w:r>
          </w:p>
        </w:tc>
        <w:tc>
          <w:tcPr>
            <w:tcW w:w="1403" w:type="dxa"/>
            <w:tcBorders>
              <w:top w:val="single" w:sz="4" w:space="0" w:color="auto"/>
              <w:left w:val="nil"/>
              <w:bottom w:val="single" w:sz="4" w:space="0" w:color="auto"/>
              <w:right w:val="nil"/>
            </w:tcBorders>
            <w:shd w:val="clear" w:color="auto" w:fill="auto"/>
            <w:noWrap/>
            <w:vAlign w:val="center"/>
            <w:hideMark/>
          </w:tcPr>
          <w:p w14:paraId="64AF8DB7" w14:textId="77777777" w:rsidR="008307FD" w:rsidRPr="008307FD" w:rsidRDefault="008307FD" w:rsidP="002635E3">
            <w:pPr>
              <w:spacing w:before="60" w:after="60" w:line="360" w:lineRule="auto"/>
              <w:jc w:val="both"/>
              <w:rPr>
                <w:rFonts w:eastAsia="Times New Roman" w:cs="Calibri"/>
                <w:b/>
                <w:bCs/>
                <w:color w:val="000000"/>
                <w:sz w:val="22"/>
                <w:szCs w:val="22"/>
              </w:rPr>
            </w:pPr>
            <w:r w:rsidRPr="008307FD">
              <w:rPr>
                <w:rFonts w:eastAsia="Times New Roman" w:cs="Calibri"/>
                <w:b/>
                <w:bCs/>
                <w:color w:val="000000"/>
                <w:sz w:val="22"/>
                <w:szCs w:val="22"/>
              </w:rPr>
              <w:t>HC (n=22)</w:t>
            </w:r>
          </w:p>
          <w:p w14:paraId="202D0324" w14:textId="77777777" w:rsidR="008307FD" w:rsidRPr="008307FD" w:rsidRDefault="008307FD" w:rsidP="002635E3">
            <w:pPr>
              <w:spacing w:before="60" w:after="60" w:line="360" w:lineRule="auto"/>
              <w:jc w:val="both"/>
              <w:rPr>
                <w:rFonts w:eastAsia="Times New Roman" w:cs="Calibri"/>
                <w:bCs/>
                <w:i/>
                <w:color w:val="000000"/>
                <w:sz w:val="22"/>
                <w:szCs w:val="22"/>
              </w:rPr>
            </w:pPr>
            <w:r w:rsidRPr="008307FD">
              <w:rPr>
                <w:rFonts w:eastAsia="Times New Roman" w:cs="Calibri"/>
                <w:bCs/>
                <w:i/>
                <w:color w:val="000000"/>
                <w:sz w:val="22"/>
                <w:szCs w:val="22"/>
              </w:rPr>
              <w:t>Mean (SD)</w:t>
            </w:r>
          </w:p>
        </w:tc>
        <w:tc>
          <w:tcPr>
            <w:tcW w:w="1048" w:type="dxa"/>
            <w:gridSpan w:val="2"/>
            <w:tcBorders>
              <w:top w:val="single" w:sz="4" w:space="0" w:color="auto"/>
              <w:left w:val="nil"/>
              <w:bottom w:val="single" w:sz="4" w:space="0" w:color="auto"/>
              <w:right w:val="nil"/>
            </w:tcBorders>
            <w:shd w:val="clear" w:color="auto" w:fill="auto"/>
            <w:noWrap/>
            <w:vAlign w:val="bottom"/>
            <w:hideMark/>
          </w:tcPr>
          <w:p w14:paraId="6796E5F5" w14:textId="77777777" w:rsidR="008307FD" w:rsidRPr="008307FD" w:rsidRDefault="008307FD" w:rsidP="002635E3">
            <w:pPr>
              <w:spacing w:before="60" w:after="60" w:line="360" w:lineRule="auto"/>
              <w:jc w:val="both"/>
              <w:rPr>
                <w:rFonts w:eastAsia="Times New Roman" w:cs="Calibri"/>
                <w:bCs/>
                <w:i/>
                <w:color w:val="000000"/>
                <w:sz w:val="22"/>
                <w:szCs w:val="22"/>
              </w:rPr>
            </w:pPr>
            <w:r w:rsidRPr="008307FD">
              <w:rPr>
                <w:rFonts w:eastAsia="Times New Roman" w:cs="Calibri"/>
                <w:bCs/>
                <w:i/>
                <w:color w:val="000000"/>
                <w:sz w:val="22"/>
                <w:szCs w:val="22"/>
              </w:rPr>
              <w:t>p value</w:t>
            </w:r>
          </w:p>
        </w:tc>
        <w:tc>
          <w:tcPr>
            <w:tcW w:w="1048" w:type="dxa"/>
            <w:gridSpan w:val="2"/>
            <w:tcBorders>
              <w:top w:val="single" w:sz="4" w:space="0" w:color="auto"/>
              <w:left w:val="nil"/>
              <w:bottom w:val="single" w:sz="4" w:space="0" w:color="auto"/>
              <w:right w:val="nil"/>
            </w:tcBorders>
          </w:tcPr>
          <w:p w14:paraId="41C8F396" w14:textId="77777777" w:rsidR="008307FD" w:rsidRPr="008307FD" w:rsidRDefault="008307FD" w:rsidP="002635E3">
            <w:pPr>
              <w:spacing w:before="60" w:after="60" w:line="360" w:lineRule="auto"/>
              <w:jc w:val="both"/>
              <w:rPr>
                <w:rFonts w:eastAsia="Times New Roman" w:cs="Calibri"/>
                <w:bCs/>
                <w:i/>
                <w:color w:val="000000"/>
                <w:sz w:val="22"/>
                <w:szCs w:val="22"/>
              </w:rPr>
            </w:pPr>
          </w:p>
          <w:p w14:paraId="484ED442" w14:textId="77777777" w:rsidR="008307FD" w:rsidRPr="008307FD" w:rsidRDefault="008307FD" w:rsidP="002635E3">
            <w:pPr>
              <w:spacing w:before="60" w:after="60" w:line="360" w:lineRule="auto"/>
              <w:jc w:val="both"/>
              <w:rPr>
                <w:rFonts w:eastAsia="Times New Roman" w:cs="Calibri"/>
                <w:bCs/>
                <w:i/>
                <w:color w:val="000000"/>
                <w:sz w:val="22"/>
                <w:szCs w:val="22"/>
              </w:rPr>
            </w:pPr>
            <w:r w:rsidRPr="008307FD">
              <w:rPr>
                <w:rFonts w:eastAsia="Times New Roman" w:cs="Calibri"/>
                <w:bCs/>
                <w:i/>
                <w:color w:val="000000"/>
                <w:sz w:val="22"/>
                <w:szCs w:val="22"/>
              </w:rPr>
              <w:t>BF</w:t>
            </w:r>
            <w:r w:rsidRPr="008307FD">
              <w:rPr>
                <w:rFonts w:eastAsia="Times New Roman" w:cs="Calibri"/>
                <w:bCs/>
                <w:i/>
                <w:color w:val="000000"/>
                <w:sz w:val="22"/>
                <w:szCs w:val="22"/>
                <w:vertAlign w:val="subscript"/>
              </w:rPr>
              <w:t>10</w:t>
            </w:r>
          </w:p>
        </w:tc>
      </w:tr>
      <w:tr w:rsidR="008307FD" w:rsidRPr="008307FD" w14:paraId="3F9DE187" w14:textId="77777777" w:rsidTr="002635E3">
        <w:trPr>
          <w:trHeight w:val="300"/>
        </w:trPr>
        <w:tc>
          <w:tcPr>
            <w:tcW w:w="2601" w:type="dxa"/>
            <w:tcBorders>
              <w:top w:val="single" w:sz="4" w:space="0" w:color="auto"/>
              <w:left w:val="nil"/>
              <w:bottom w:val="nil"/>
              <w:right w:val="nil"/>
            </w:tcBorders>
            <w:shd w:val="clear" w:color="auto" w:fill="auto"/>
            <w:noWrap/>
            <w:vAlign w:val="bottom"/>
            <w:hideMark/>
          </w:tcPr>
          <w:p w14:paraId="54A99598" w14:textId="77777777" w:rsidR="008307FD" w:rsidRPr="008307FD" w:rsidRDefault="008307FD" w:rsidP="002635E3">
            <w:pPr>
              <w:spacing w:before="120" w:line="360" w:lineRule="auto"/>
              <w:jc w:val="both"/>
              <w:rPr>
                <w:rFonts w:eastAsia="Times New Roman" w:cs="Calibri"/>
                <w:color w:val="000000"/>
                <w:sz w:val="22"/>
                <w:szCs w:val="22"/>
              </w:rPr>
            </w:pPr>
            <w:r w:rsidRPr="008307FD">
              <w:rPr>
                <w:rFonts w:eastAsia="Times New Roman" w:cs="Calibri"/>
                <w:color w:val="000000"/>
                <w:sz w:val="22"/>
                <w:szCs w:val="22"/>
              </w:rPr>
              <w:t>Age, years</w:t>
            </w:r>
          </w:p>
        </w:tc>
        <w:tc>
          <w:tcPr>
            <w:tcW w:w="1403" w:type="dxa"/>
            <w:tcBorders>
              <w:top w:val="single" w:sz="4" w:space="0" w:color="auto"/>
              <w:left w:val="nil"/>
              <w:bottom w:val="nil"/>
              <w:right w:val="nil"/>
            </w:tcBorders>
            <w:shd w:val="clear" w:color="auto" w:fill="auto"/>
            <w:noWrap/>
            <w:vAlign w:val="bottom"/>
          </w:tcPr>
          <w:p w14:paraId="53036087" w14:textId="77777777" w:rsidR="008307FD" w:rsidRPr="008307FD" w:rsidRDefault="008307FD" w:rsidP="002635E3">
            <w:pPr>
              <w:spacing w:before="120" w:line="360" w:lineRule="auto"/>
              <w:jc w:val="both"/>
              <w:rPr>
                <w:rFonts w:eastAsia="Times New Roman" w:cs="Calibri"/>
                <w:color w:val="000000"/>
                <w:sz w:val="22"/>
                <w:szCs w:val="22"/>
              </w:rPr>
            </w:pPr>
            <w:r w:rsidRPr="008307FD">
              <w:rPr>
                <w:rFonts w:eastAsia="Times New Roman" w:cs="Calibri"/>
                <w:color w:val="000000"/>
                <w:sz w:val="22"/>
                <w:szCs w:val="22"/>
              </w:rPr>
              <w:t>35.5 (12.4)</w:t>
            </w:r>
          </w:p>
        </w:tc>
        <w:tc>
          <w:tcPr>
            <w:tcW w:w="1403" w:type="dxa"/>
            <w:tcBorders>
              <w:top w:val="single" w:sz="4" w:space="0" w:color="auto"/>
              <w:left w:val="nil"/>
              <w:bottom w:val="nil"/>
              <w:right w:val="nil"/>
            </w:tcBorders>
            <w:shd w:val="clear" w:color="auto" w:fill="auto"/>
            <w:noWrap/>
            <w:vAlign w:val="bottom"/>
          </w:tcPr>
          <w:p w14:paraId="7C17E989" w14:textId="77777777" w:rsidR="008307FD" w:rsidRPr="008307FD" w:rsidRDefault="008307FD" w:rsidP="002635E3">
            <w:pPr>
              <w:spacing w:before="120" w:line="360" w:lineRule="auto"/>
              <w:jc w:val="both"/>
              <w:rPr>
                <w:rFonts w:eastAsia="Times New Roman" w:cs="Calibri"/>
                <w:color w:val="000000"/>
                <w:sz w:val="22"/>
                <w:szCs w:val="22"/>
              </w:rPr>
            </w:pPr>
            <w:r w:rsidRPr="008307FD">
              <w:rPr>
                <w:rFonts w:eastAsia="Times New Roman" w:cs="Calibri"/>
                <w:color w:val="000000"/>
                <w:sz w:val="22"/>
                <w:szCs w:val="22"/>
              </w:rPr>
              <w:t>35.4 (15.8)</w:t>
            </w:r>
          </w:p>
        </w:tc>
        <w:tc>
          <w:tcPr>
            <w:tcW w:w="1048" w:type="dxa"/>
            <w:gridSpan w:val="2"/>
            <w:tcBorders>
              <w:top w:val="single" w:sz="4" w:space="0" w:color="auto"/>
              <w:left w:val="nil"/>
              <w:bottom w:val="nil"/>
              <w:right w:val="nil"/>
            </w:tcBorders>
            <w:shd w:val="clear" w:color="auto" w:fill="auto"/>
            <w:noWrap/>
            <w:vAlign w:val="bottom"/>
          </w:tcPr>
          <w:p w14:paraId="5F663E9A" w14:textId="77777777" w:rsidR="008307FD" w:rsidRPr="008307FD" w:rsidRDefault="008307FD" w:rsidP="002635E3">
            <w:pPr>
              <w:spacing w:before="120" w:line="360" w:lineRule="auto"/>
              <w:jc w:val="both"/>
              <w:rPr>
                <w:rFonts w:eastAsia="Times New Roman" w:cs="Calibri"/>
                <w:color w:val="000000"/>
                <w:sz w:val="22"/>
                <w:szCs w:val="22"/>
                <w:vertAlign w:val="superscript"/>
              </w:rPr>
            </w:pPr>
            <w:r w:rsidRPr="008307FD">
              <w:rPr>
                <w:rFonts w:eastAsia="Times New Roman" w:cs="Calibri"/>
                <w:color w:val="000000"/>
                <w:sz w:val="22"/>
                <w:szCs w:val="22"/>
              </w:rPr>
              <w:t>0.99</w:t>
            </w:r>
          </w:p>
        </w:tc>
        <w:tc>
          <w:tcPr>
            <w:tcW w:w="1048" w:type="dxa"/>
            <w:gridSpan w:val="2"/>
            <w:tcBorders>
              <w:top w:val="single" w:sz="4" w:space="0" w:color="auto"/>
              <w:left w:val="nil"/>
              <w:bottom w:val="nil"/>
              <w:right w:val="nil"/>
            </w:tcBorders>
          </w:tcPr>
          <w:p w14:paraId="447EBF29" w14:textId="77777777" w:rsidR="008307FD" w:rsidRPr="008307FD" w:rsidRDefault="008307FD" w:rsidP="002635E3">
            <w:pPr>
              <w:spacing w:before="120" w:line="360" w:lineRule="auto"/>
              <w:jc w:val="both"/>
              <w:rPr>
                <w:rFonts w:eastAsia="Times New Roman" w:cs="Calibri"/>
                <w:color w:val="000000"/>
                <w:sz w:val="22"/>
                <w:szCs w:val="22"/>
              </w:rPr>
            </w:pPr>
            <w:r w:rsidRPr="008307FD">
              <w:rPr>
                <w:rFonts w:eastAsia="Times New Roman" w:cs="Calibri"/>
                <w:color w:val="000000"/>
                <w:sz w:val="22"/>
                <w:szCs w:val="22"/>
              </w:rPr>
              <w:t>0.29</w:t>
            </w:r>
          </w:p>
        </w:tc>
      </w:tr>
      <w:tr w:rsidR="008307FD" w:rsidRPr="008307FD" w14:paraId="50EB3755" w14:textId="77777777" w:rsidTr="002635E3">
        <w:trPr>
          <w:trHeight w:val="300"/>
        </w:trPr>
        <w:tc>
          <w:tcPr>
            <w:tcW w:w="2601" w:type="dxa"/>
            <w:tcBorders>
              <w:top w:val="nil"/>
              <w:left w:val="nil"/>
              <w:bottom w:val="nil"/>
              <w:right w:val="nil"/>
            </w:tcBorders>
            <w:shd w:val="clear" w:color="auto" w:fill="auto"/>
            <w:noWrap/>
            <w:vAlign w:val="bottom"/>
            <w:hideMark/>
          </w:tcPr>
          <w:p w14:paraId="09F63A8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Handedness: right / left</w:t>
            </w:r>
          </w:p>
        </w:tc>
        <w:tc>
          <w:tcPr>
            <w:tcW w:w="1403" w:type="dxa"/>
            <w:tcBorders>
              <w:top w:val="nil"/>
              <w:left w:val="nil"/>
              <w:bottom w:val="nil"/>
              <w:right w:val="nil"/>
            </w:tcBorders>
            <w:shd w:val="clear" w:color="auto" w:fill="auto"/>
            <w:noWrap/>
            <w:vAlign w:val="bottom"/>
            <w:hideMark/>
          </w:tcPr>
          <w:p w14:paraId="5369E25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22 / 2</w:t>
            </w:r>
          </w:p>
        </w:tc>
        <w:tc>
          <w:tcPr>
            <w:tcW w:w="1403" w:type="dxa"/>
            <w:tcBorders>
              <w:top w:val="nil"/>
              <w:left w:val="nil"/>
              <w:bottom w:val="nil"/>
              <w:right w:val="nil"/>
            </w:tcBorders>
            <w:shd w:val="clear" w:color="auto" w:fill="auto"/>
            <w:noWrap/>
            <w:vAlign w:val="bottom"/>
            <w:hideMark/>
          </w:tcPr>
          <w:p w14:paraId="03E034F9"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15 / 7</w:t>
            </w:r>
          </w:p>
        </w:tc>
        <w:tc>
          <w:tcPr>
            <w:tcW w:w="1048" w:type="dxa"/>
            <w:gridSpan w:val="2"/>
            <w:tcBorders>
              <w:top w:val="nil"/>
              <w:left w:val="nil"/>
              <w:bottom w:val="nil"/>
              <w:right w:val="nil"/>
            </w:tcBorders>
            <w:shd w:val="clear" w:color="auto" w:fill="auto"/>
            <w:noWrap/>
            <w:vAlign w:val="bottom"/>
            <w:hideMark/>
          </w:tcPr>
          <w:p w14:paraId="6F3B612A"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b/>
                <w:color w:val="000000"/>
                <w:sz w:val="22"/>
                <w:szCs w:val="22"/>
              </w:rPr>
              <w:t>0.01</w:t>
            </w:r>
            <w:r w:rsidRPr="008307FD">
              <w:rPr>
                <w:rFonts w:eastAsia="Times New Roman" w:cs="Calibri"/>
                <w:color w:val="000000"/>
                <w:sz w:val="22"/>
                <w:szCs w:val="22"/>
                <w:vertAlign w:val="superscript"/>
              </w:rPr>
              <w:t>a</w:t>
            </w:r>
          </w:p>
        </w:tc>
        <w:tc>
          <w:tcPr>
            <w:tcW w:w="1048" w:type="dxa"/>
            <w:gridSpan w:val="2"/>
            <w:tcBorders>
              <w:top w:val="nil"/>
              <w:left w:val="nil"/>
              <w:bottom w:val="nil"/>
              <w:right w:val="nil"/>
            </w:tcBorders>
          </w:tcPr>
          <w:p w14:paraId="6A292804" w14:textId="77777777" w:rsidR="008307FD" w:rsidRPr="008307FD" w:rsidRDefault="008307FD" w:rsidP="002635E3">
            <w:pPr>
              <w:spacing w:line="360" w:lineRule="auto"/>
              <w:jc w:val="both"/>
              <w:rPr>
                <w:rFonts w:eastAsia="Times New Roman" w:cs="Calibri"/>
                <w:b/>
                <w:color w:val="000000"/>
                <w:sz w:val="22"/>
                <w:szCs w:val="22"/>
              </w:rPr>
            </w:pPr>
            <w:r w:rsidRPr="008307FD">
              <w:rPr>
                <w:rFonts w:eastAsia="Times New Roman" w:cs="Calibri"/>
                <w:b/>
                <w:color w:val="000000"/>
                <w:sz w:val="22"/>
                <w:szCs w:val="22"/>
              </w:rPr>
              <w:t>&gt;100</w:t>
            </w:r>
            <w:r w:rsidRPr="008307FD">
              <w:rPr>
                <w:rFonts w:eastAsia="Times New Roman" w:cs="Calibri"/>
                <w:bCs/>
                <w:i/>
                <w:iCs/>
                <w:color w:val="000000"/>
                <w:sz w:val="22"/>
                <w:szCs w:val="22"/>
                <w:vertAlign w:val="superscript"/>
              </w:rPr>
              <w:t>b</w:t>
            </w:r>
          </w:p>
        </w:tc>
      </w:tr>
      <w:tr w:rsidR="008307FD" w:rsidRPr="008307FD" w14:paraId="492F63A2" w14:textId="77777777" w:rsidTr="002635E3">
        <w:trPr>
          <w:trHeight w:val="300"/>
        </w:trPr>
        <w:tc>
          <w:tcPr>
            <w:tcW w:w="2601" w:type="dxa"/>
            <w:tcBorders>
              <w:top w:val="nil"/>
              <w:left w:val="nil"/>
              <w:bottom w:val="nil"/>
              <w:right w:val="nil"/>
            </w:tcBorders>
            <w:shd w:val="clear" w:color="auto" w:fill="auto"/>
            <w:noWrap/>
            <w:vAlign w:val="bottom"/>
            <w:hideMark/>
          </w:tcPr>
          <w:p w14:paraId="48982874" w14:textId="77777777" w:rsidR="008307FD" w:rsidRPr="008307FD" w:rsidRDefault="008307FD" w:rsidP="002635E3">
            <w:pPr>
              <w:spacing w:line="360" w:lineRule="auto"/>
              <w:jc w:val="both"/>
              <w:rPr>
                <w:rFonts w:eastAsia="Times New Roman" w:cs="Calibri"/>
                <w:color w:val="000000"/>
                <w:sz w:val="22"/>
                <w:szCs w:val="22"/>
                <w:vertAlign w:val="subscript"/>
              </w:rPr>
            </w:pPr>
            <w:r w:rsidRPr="008307FD">
              <w:rPr>
                <w:rFonts w:eastAsia="Times New Roman" w:cs="Calibri"/>
                <w:color w:val="000000"/>
                <w:sz w:val="22"/>
                <w:szCs w:val="22"/>
              </w:rPr>
              <w:t>Males / females</w:t>
            </w:r>
          </w:p>
        </w:tc>
        <w:tc>
          <w:tcPr>
            <w:tcW w:w="1403" w:type="dxa"/>
            <w:tcBorders>
              <w:top w:val="nil"/>
              <w:left w:val="nil"/>
              <w:bottom w:val="nil"/>
              <w:right w:val="nil"/>
            </w:tcBorders>
            <w:shd w:val="clear" w:color="auto" w:fill="auto"/>
            <w:noWrap/>
            <w:vAlign w:val="bottom"/>
          </w:tcPr>
          <w:p w14:paraId="0A6B5CB9"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19 / 5</w:t>
            </w:r>
          </w:p>
        </w:tc>
        <w:tc>
          <w:tcPr>
            <w:tcW w:w="1403" w:type="dxa"/>
            <w:tcBorders>
              <w:top w:val="nil"/>
              <w:left w:val="nil"/>
              <w:bottom w:val="nil"/>
              <w:right w:val="nil"/>
            </w:tcBorders>
            <w:shd w:val="clear" w:color="auto" w:fill="auto"/>
            <w:noWrap/>
            <w:vAlign w:val="bottom"/>
          </w:tcPr>
          <w:p w14:paraId="67A75EDB"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13 / 9</w:t>
            </w:r>
          </w:p>
        </w:tc>
        <w:tc>
          <w:tcPr>
            <w:tcW w:w="1048" w:type="dxa"/>
            <w:gridSpan w:val="2"/>
            <w:tcBorders>
              <w:top w:val="nil"/>
              <w:left w:val="nil"/>
              <w:bottom w:val="nil"/>
              <w:right w:val="nil"/>
            </w:tcBorders>
            <w:shd w:val="clear" w:color="auto" w:fill="auto"/>
            <w:noWrap/>
            <w:vAlign w:val="bottom"/>
            <w:hideMark/>
          </w:tcPr>
          <w:p w14:paraId="3CEB6B71"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0.14</w:t>
            </w:r>
            <w:r w:rsidRPr="008307FD">
              <w:rPr>
                <w:rFonts w:eastAsia="Times New Roman" w:cs="Calibri"/>
                <w:color w:val="000000"/>
                <w:sz w:val="22"/>
                <w:szCs w:val="22"/>
                <w:vertAlign w:val="superscript"/>
              </w:rPr>
              <w:t>a</w:t>
            </w:r>
          </w:p>
        </w:tc>
        <w:tc>
          <w:tcPr>
            <w:tcW w:w="1048" w:type="dxa"/>
            <w:gridSpan w:val="2"/>
            <w:tcBorders>
              <w:top w:val="nil"/>
              <w:left w:val="nil"/>
              <w:bottom w:val="nil"/>
              <w:right w:val="nil"/>
            </w:tcBorders>
          </w:tcPr>
          <w:p w14:paraId="10783DBC"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1.36</w:t>
            </w:r>
            <w:r w:rsidRPr="008307FD">
              <w:rPr>
                <w:rFonts w:eastAsia="Times New Roman" w:cs="Calibri"/>
                <w:bCs/>
                <w:i/>
                <w:iCs/>
                <w:color w:val="000000"/>
                <w:sz w:val="22"/>
                <w:szCs w:val="22"/>
                <w:vertAlign w:val="superscript"/>
              </w:rPr>
              <w:t>b</w:t>
            </w:r>
          </w:p>
        </w:tc>
      </w:tr>
      <w:tr w:rsidR="008307FD" w:rsidRPr="008307FD" w14:paraId="6EBDC1A6" w14:textId="77777777" w:rsidTr="002635E3">
        <w:trPr>
          <w:trHeight w:val="300"/>
        </w:trPr>
        <w:tc>
          <w:tcPr>
            <w:tcW w:w="2601" w:type="dxa"/>
            <w:tcBorders>
              <w:top w:val="nil"/>
              <w:left w:val="nil"/>
              <w:bottom w:val="nil"/>
              <w:right w:val="nil"/>
            </w:tcBorders>
            <w:shd w:val="clear" w:color="auto" w:fill="auto"/>
            <w:noWrap/>
            <w:vAlign w:val="bottom"/>
            <w:hideMark/>
          </w:tcPr>
          <w:p w14:paraId="01248C4E"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Education, years</w:t>
            </w:r>
          </w:p>
        </w:tc>
        <w:tc>
          <w:tcPr>
            <w:tcW w:w="1403" w:type="dxa"/>
            <w:tcBorders>
              <w:top w:val="nil"/>
              <w:left w:val="nil"/>
              <w:bottom w:val="nil"/>
              <w:right w:val="nil"/>
            </w:tcBorders>
            <w:shd w:val="clear" w:color="auto" w:fill="auto"/>
            <w:noWrap/>
            <w:vAlign w:val="bottom"/>
            <w:hideMark/>
          </w:tcPr>
          <w:p w14:paraId="676389EA"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8.1 (3.1)</w:t>
            </w:r>
          </w:p>
        </w:tc>
        <w:tc>
          <w:tcPr>
            <w:tcW w:w="1403" w:type="dxa"/>
            <w:tcBorders>
              <w:top w:val="nil"/>
              <w:left w:val="nil"/>
              <w:bottom w:val="nil"/>
              <w:right w:val="nil"/>
            </w:tcBorders>
            <w:shd w:val="clear" w:color="auto" w:fill="auto"/>
            <w:noWrap/>
            <w:vAlign w:val="bottom"/>
            <w:hideMark/>
          </w:tcPr>
          <w:p w14:paraId="5F2DB9A3"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9.6 (5.0)</w:t>
            </w:r>
          </w:p>
        </w:tc>
        <w:tc>
          <w:tcPr>
            <w:tcW w:w="1048" w:type="dxa"/>
            <w:gridSpan w:val="2"/>
            <w:tcBorders>
              <w:top w:val="nil"/>
              <w:left w:val="nil"/>
              <w:bottom w:val="nil"/>
              <w:right w:val="nil"/>
            </w:tcBorders>
            <w:shd w:val="clear" w:color="auto" w:fill="auto"/>
            <w:noWrap/>
            <w:vAlign w:val="bottom"/>
            <w:hideMark/>
          </w:tcPr>
          <w:p w14:paraId="4E8AF03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0.22</w:t>
            </w:r>
          </w:p>
        </w:tc>
        <w:tc>
          <w:tcPr>
            <w:tcW w:w="1048" w:type="dxa"/>
            <w:gridSpan w:val="2"/>
            <w:tcBorders>
              <w:top w:val="nil"/>
              <w:left w:val="nil"/>
              <w:bottom w:val="nil"/>
              <w:right w:val="nil"/>
            </w:tcBorders>
          </w:tcPr>
          <w:p w14:paraId="07210C4D"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0.55</w:t>
            </w:r>
          </w:p>
        </w:tc>
      </w:tr>
      <w:tr w:rsidR="008307FD" w:rsidRPr="008307FD" w14:paraId="7C5F92BA" w14:textId="77777777" w:rsidTr="002635E3">
        <w:trPr>
          <w:trHeight w:val="300"/>
        </w:trPr>
        <w:tc>
          <w:tcPr>
            <w:tcW w:w="2601" w:type="dxa"/>
            <w:tcBorders>
              <w:top w:val="nil"/>
              <w:left w:val="nil"/>
              <w:bottom w:val="nil"/>
              <w:right w:val="nil"/>
            </w:tcBorders>
            <w:shd w:val="clear" w:color="auto" w:fill="auto"/>
            <w:noWrap/>
            <w:vAlign w:val="bottom"/>
          </w:tcPr>
          <w:p w14:paraId="61D0BD93"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IQ</w:t>
            </w:r>
          </w:p>
        </w:tc>
        <w:tc>
          <w:tcPr>
            <w:tcW w:w="1403" w:type="dxa"/>
            <w:tcBorders>
              <w:top w:val="nil"/>
              <w:left w:val="nil"/>
              <w:bottom w:val="nil"/>
              <w:right w:val="nil"/>
            </w:tcBorders>
            <w:shd w:val="clear" w:color="auto" w:fill="auto"/>
            <w:noWrap/>
            <w:vAlign w:val="bottom"/>
          </w:tcPr>
          <w:p w14:paraId="788CABE0"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88.6 (8.9)</w:t>
            </w:r>
          </w:p>
        </w:tc>
        <w:tc>
          <w:tcPr>
            <w:tcW w:w="1403" w:type="dxa"/>
            <w:tcBorders>
              <w:top w:val="nil"/>
              <w:left w:val="nil"/>
              <w:bottom w:val="nil"/>
              <w:right w:val="nil"/>
            </w:tcBorders>
            <w:shd w:val="clear" w:color="auto" w:fill="auto"/>
            <w:noWrap/>
            <w:vAlign w:val="bottom"/>
          </w:tcPr>
          <w:p w14:paraId="36C8586F"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96.6 (9.6)</w:t>
            </w:r>
          </w:p>
        </w:tc>
        <w:tc>
          <w:tcPr>
            <w:tcW w:w="1048" w:type="dxa"/>
            <w:gridSpan w:val="2"/>
            <w:tcBorders>
              <w:top w:val="nil"/>
              <w:left w:val="nil"/>
              <w:bottom w:val="nil"/>
              <w:right w:val="nil"/>
            </w:tcBorders>
            <w:shd w:val="clear" w:color="auto" w:fill="auto"/>
            <w:noWrap/>
            <w:vAlign w:val="bottom"/>
          </w:tcPr>
          <w:p w14:paraId="62C87088" w14:textId="77777777" w:rsidR="008307FD" w:rsidRPr="008307FD" w:rsidRDefault="008307FD" w:rsidP="002635E3">
            <w:pPr>
              <w:spacing w:line="360" w:lineRule="auto"/>
              <w:jc w:val="both"/>
              <w:rPr>
                <w:rFonts w:eastAsia="Times New Roman" w:cs="Calibri"/>
                <w:b/>
                <w:color w:val="000000"/>
                <w:sz w:val="22"/>
                <w:szCs w:val="22"/>
              </w:rPr>
            </w:pPr>
            <w:r w:rsidRPr="008307FD">
              <w:rPr>
                <w:rFonts w:eastAsia="Times New Roman" w:cs="Calibri"/>
                <w:b/>
                <w:color w:val="000000"/>
                <w:sz w:val="22"/>
                <w:szCs w:val="22"/>
              </w:rPr>
              <w:t>0.01</w:t>
            </w:r>
          </w:p>
        </w:tc>
        <w:tc>
          <w:tcPr>
            <w:tcW w:w="1048" w:type="dxa"/>
            <w:gridSpan w:val="2"/>
            <w:tcBorders>
              <w:top w:val="nil"/>
              <w:left w:val="nil"/>
              <w:bottom w:val="nil"/>
              <w:right w:val="nil"/>
            </w:tcBorders>
          </w:tcPr>
          <w:p w14:paraId="7B0F6CBE" w14:textId="2744A565" w:rsidR="008307FD" w:rsidRPr="008307FD" w:rsidRDefault="008307FD" w:rsidP="002635E3">
            <w:pPr>
              <w:spacing w:line="360" w:lineRule="auto"/>
              <w:jc w:val="both"/>
              <w:rPr>
                <w:rFonts w:eastAsia="Times New Roman" w:cs="Calibri"/>
                <w:b/>
                <w:color w:val="000000"/>
                <w:sz w:val="22"/>
                <w:szCs w:val="22"/>
              </w:rPr>
            </w:pPr>
            <w:r w:rsidRPr="008307FD">
              <w:rPr>
                <w:rFonts w:eastAsia="Times New Roman" w:cs="Calibri"/>
                <w:b/>
                <w:color w:val="000000"/>
                <w:sz w:val="22"/>
                <w:szCs w:val="22"/>
              </w:rPr>
              <w:t>7.62</w:t>
            </w:r>
            <w:r w:rsidR="0066271F">
              <w:rPr>
                <w:rFonts w:eastAsia="Times New Roman" w:cs="Calibri"/>
                <w:b/>
                <w:color w:val="000000"/>
                <w:sz w:val="22"/>
                <w:szCs w:val="22"/>
              </w:rPr>
              <w:t xml:space="preserve"> </w:t>
            </w:r>
          </w:p>
        </w:tc>
      </w:tr>
      <w:tr w:rsidR="008307FD" w:rsidRPr="008307FD" w14:paraId="125280AC" w14:textId="77777777" w:rsidTr="002635E3">
        <w:trPr>
          <w:trHeight w:val="300"/>
        </w:trPr>
        <w:tc>
          <w:tcPr>
            <w:tcW w:w="2601" w:type="dxa"/>
            <w:tcBorders>
              <w:top w:val="nil"/>
              <w:left w:val="nil"/>
              <w:bottom w:val="nil"/>
              <w:right w:val="nil"/>
            </w:tcBorders>
            <w:shd w:val="clear" w:color="auto" w:fill="auto"/>
            <w:noWrap/>
            <w:vAlign w:val="bottom"/>
            <w:hideMark/>
          </w:tcPr>
          <w:p w14:paraId="487B302F"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Smokers (%)</w:t>
            </w:r>
          </w:p>
        </w:tc>
        <w:tc>
          <w:tcPr>
            <w:tcW w:w="1403" w:type="dxa"/>
            <w:tcBorders>
              <w:top w:val="nil"/>
              <w:left w:val="nil"/>
              <w:bottom w:val="nil"/>
              <w:right w:val="nil"/>
            </w:tcBorders>
            <w:shd w:val="clear" w:color="auto" w:fill="auto"/>
            <w:noWrap/>
            <w:vAlign w:val="bottom"/>
            <w:hideMark/>
          </w:tcPr>
          <w:p w14:paraId="50048876"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11 (46%)</w:t>
            </w:r>
          </w:p>
        </w:tc>
        <w:tc>
          <w:tcPr>
            <w:tcW w:w="1403" w:type="dxa"/>
            <w:tcBorders>
              <w:top w:val="nil"/>
              <w:left w:val="nil"/>
              <w:bottom w:val="nil"/>
              <w:right w:val="nil"/>
            </w:tcBorders>
            <w:shd w:val="clear" w:color="auto" w:fill="auto"/>
            <w:noWrap/>
            <w:vAlign w:val="bottom"/>
            <w:hideMark/>
          </w:tcPr>
          <w:p w14:paraId="5804200F"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5 (23%)</w:t>
            </w:r>
          </w:p>
        </w:tc>
        <w:tc>
          <w:tcPr>
            <w:tcW w:w="1048" w:type="dxa"/>
            <w:gridSpan w:val="2"/>
            <w:tcBorders>
              <w:top w:val="nil"/>
              <w:left w:val="nil"/>
              <w:bottom w:val="nil"/>
              <w:right w:val="nil"/>
            </w:tcBorders>
            <w:shd w:val="clear" w:color="auto" w:fill="auto"/>
            <w:noWrap/>
            <w:vAlign w:val="bottom"/>
            <w:hideMark/>
          </w:tcPr>
          <w:p w14:paraId="79074A79" w14:textId="77777777" w:rsidR="008307FD" w:rsidRPr="008307FD" w:rsidRDefault="008307FD" w:rsidP="002635E3">
            <w:pPr>
              <w:spacing w:line="360" w:lineRule="auto"/>
              <w:jc w:val="both"/>
              <w:rPr>
                <w:rFonts w:eastAsia="Times New Roman" w:cs="Calibri"/>
                <w:b/>
                <w:color w:val="000000"/>
                <w:sz w:val="22"/>
                <w:szCs w:val="22"/>
              </w:rPr>
            </w:pPr>
            <w:r w:rsidRPr="008307FD">
              <w:rPr>
                <w:rFonts w:eastAsia="Times New Roman" w:cs="Calibri"/>
                <w:color w:val="000000"/>
                <w:sz w:val="22"/>
                <w:szCs w:val="22"/>
              </w:rPr>
              <w:t>0.10</w:t>
            </w:r>
            <w:r w:rsidRPr="008307FD">
              <w:rPr>
                <w:rFonts w:eastAsia="Times New Roman" w:cs="Calibri"/>
                <w:color w:val="000000"/>
                <w:sz w:val="22"/>
                <w:szCs w:val="22"/>
                <w:vertAlign w:val="superscript"/>
              </w:rPr>
              <w:t>a</w:t>
            </w:r>
          </w:p>
        </w:tc>
        <w:tc>
          <w:tcPr>
            <w:tcW w:w="1048" w:type="dxa"/>
            <w:gridSpan w:val="2"/>
            <w:tcBorders>
              <w:top w:val="nil"/>
              <w:left w:val="nil"/>
              <w:bottom w:val="nil"/>
              <w:right w:val="nil"/>
            </w:tcBorders>
          </w:tcPr>
          <w:p w14:paraId="52B3C0C0"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1.81</w:t>
            </w:r>
            <w:r w:rsidRPr="008307FD">
              <w:rPr>
                <w:rFonts w:eastAsia="Times New Roman" w:cs="Calibri"/>
                <w:bCs/>
                <w:i/>
                <w:iCs/>
                <w:color w:val="000000"/>
                <w:sz w:val="22"/>
                <w:szCs w:val="22"/>
                <w:vertAlign w:val="superscript"/>
              </w:rPr>
              <w:t>b</w:t>
            </w:r>
          </w:p>
        </w:tc>
      </w:tr>
      <w:tr w:rsidR="008307FD" w:rsidRPr="008307FD" w14:paraId="7E26EF52" w14:textId="77777777" w:rsidTr="002635E3">
        <w:trPr>
          <w:trHeight w:val="300"/>
        </w:trPr>
        <w:tc>
          <w:tcPr>
            <w:tcW w:w="2601" w:type="dxa"/>
            <w:tcBorders>
              <w:top w:val="nil"/>
              <w:left w:val="nil"/>
              <w:bottom w:val="nil"/>
              <w:right w:val="nil"/>
            </w:tcBorders>
            <w:shd w:val="clear" w:color="auto" w:fill="auto"/>
            <w:noWrap/>
            <w:vAlign w:val="bottom"/>
            <w:hideMark/>
          </w:tcPr>
          <w:p w14:paraId="142B982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AUDIT</w:t>
            </w:r>
          </w:p>
        </w:tc>
        <w:tc>
          <w:tcPr>
            <w:tcW w:w="1403" w:type="dxa"/>
            <w:tcBorders>
              <w:top w:val="nil"/>
              <w:left w:val="nil"/>
              <w:bottom w:val="nil"/>
              <w:right w:val="nil"/>
            </w:tcBorders>
            <w:shd w:val="clear" w:color="auto" w:fill="auto"/>
            <w:noWrap/>
            <w:vAlign w:val="bottom"/>
            <w:hideMark/>
          </w:tcPr>
          <w:p w14:paraId="0A08E812"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4.6 (4.3)</w:t>
            </w:r>
          </w:p>
        </w:tc>
        <w:tc>
          <w:tcPr>
            <w:tcW w:w="1403" w:type="dxa"/>
            <w:tcBorders>
              <w:top w:val="nil"/>
              <w:left w:val="nil"/>
              <w:bottom w:val="nil"/>
              <w:right w:val="nil"/>
            </w:tcBorders>
            <w:shd w:val="clear" w:color="auto" w:fill="auto"/>
            <w:noWrap/>
            <w:vAlign w:val="bottom"/>
            <w:hideMark/>
          </w:tcPr>
          <w:p w14:paraId="7893669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3.0 (2.3)</w:t>
            </w:r>
          </w:p>
        </w:tc>
        <w:tc>
          <w:tcPr>
            <w:tcW w:w="1048" w:type="dxa"/>
            <w:gridSpan w:val="2"/>
            <w:tcBorders>
              <w:top w:val="nil"/>
              <w:left w:val="nil"/>
              <w:bottom w:val="nil"/>
              <w:right w:val="nil"/>
            </w:tcBorders>
            <w:shd w:val="clear" w:color="auto" w:fill="auto"/>
            <w:noWrap/>
            <w:vAlign w:val="bottom"/>
            <w:hideMark/>
          </w:tcPr>
          <w:p w14:paraId="0E2E7C8B"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0.12</w:t>
            </w:r>
          </w:p>
        </w:tc>
        <w:tc>
          <w:tcPr>
            <w:tcW w:w="1048" w:type="dxa"/>
            <w:gridSpan w:val="2"/>
            <w:tcBorders>
              <w:top w:val="nil"/>
              <w:left w:val="nil"/>
              <w:bottom w:val="nil"/>
              <w:right w:val="nil"/>
            </w:tcBorders>
          </w:tcPr>
          <w:p w14:paraId="54BCAFDD"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0.78</w:t>
            </w:r>
          </w:p>
        </w:tc>
      </w:tr>
      <w:tr w:rsidR="008307FD" w:rsidRPr="008307FD" w14:paraId="48894394" w14:textId="77777777" w:rsidTr="002635E3">
        <w:trPr>
          <w:trHeight w:val="300"/>
        </w:trPr>
        <w:tc>
          <w:tcPr>
            <w:tcW w:w="2601" w:type="dxa"/>
            <w:tcBorders>
              <w:top w:val="nil"/>
              <w:left w:val="nil"/>
              <w:bottom w:val="nil"/>
              <w:right w:val="nil"/>
            </w:tcBorders>
            <w:shd w:val="clear" w:color="auto" w:fill="auto"/>
            <w:noWrap/>
            <w:vAlign w:val="bottom"/>
          </w:tcPr>
          <w:p w14:paraId="5418A25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PGSI (12 months)</w:t>
            </w:r>
          </w:p>
        </w:tc>
        <w:tc>
          <w:tcPr>
            <w:tcW w:w="1403" w:type="dxa"/>
            <w:tcBorders>
              <w:top w:val="nil"/>
              <w:left w:val="nil"/>
              <w:bottom w:val="nil"/>
              <w:right w:val="nil"/>
            </w:tcBorders>
            <w:shd w:val="clear" w:color="auto" w:fill="auto"/>
            <w:noWrap/>
            <w:vAlign w:val="bottom"/>
          </w:tcPr>
          <w:p w14:paraId="0F3B2A36"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15.1 (5.1)</w:t>
            </w:r>
          </w:p>
        </w:tc>
        <w:tc>
          <w:tcPr>
            <w:tcW w:w="1403" w:type="dxa"/>
            <w:tcBorders>
              <w:top w:val="nil"/>
              <w:left w:val="nil"/>
              <w:bottom w:val="nil"/>
              <w:right w:val="nil"/>
            </w:tcBorders>
            <w:shd w:val="clear" w:color="auto" w:fill="auto"/>
            <w:noWrap/>
            <w:vAlign w:val="bottom"/>
          </w:tcPr>
          <w:p w14:paraId="4431524C"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0.0 (0.0)</w:t>
            </w:r>
          </w:p>
        </w:tc>
        <w:tc>
          <w:tcPr>
            <w:tcW w:w="1048" w:type="dxa"/>
            <w:gridSpan w:val="2"/>
            <w:tcBorders>
              <w:top w:val="nil"/>
              <w:left w:val="nil"/>
              <w:bottom w:val="nil"/>
              <w:right w:val="nil"/>
            </w:tcBorders>
            <w:shd w:val="clear" w:color="auto" w:fill="auto"/>
            <w:noWrap/>
            <w:vAlign w:val="bottom"/>
          </w:tcPr>
          <w:p w14:paraId="391AB2BE"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b/>
                <w:color w:val="000000"/>
                <w:sz w:val="22"/>
                <w:szCs w:val="22"/>
              </w:rPr>
              <w:t>&lt;0.001</w:t>
            </w:r>
          </w:p>
        </w:tc>
        <w:tc>
          <w:tcPr>
            <w:tcW w:w="1048" w:type="dxa"/>
            <w:gridSpan w:val="2"/>
            <w:tcBorders>
              <w:top w:val="nil"/>
              <w:left w:val="nil"/>
              <w:bottom w:val="nil"/>
              <w:right w:val="nil"/>
            </w:tcBorders>
          </w:tcPr>
          <w:p w14:paraId="46DD57BA" w14:textId="77777777" w:rsidR="008307FD" w:rsidRPr="008307FD" w:rsidRDefault="008307FD" w:rsidP="002635E3">
            <w:pPr>
              <w:spacing w:line="360" w:lineRule="auto"/>
              <w:jc w:val="both"/>
              <w:rPr>
                <w:rFonts w:eastAsia="Times New Roman" w:cs="Calibri"/>
                <w:b/>
                <w:color w:val="000000"/>
                <w:sz w:val="22"/>
                <w:szCs w:val="22"/>
              </w:rPr>
            </w:pPr>
            <w:r w:rsidRPr="008307FD">
              <w:rPr>
                <w:rFonts w:eastAsia="Times New Roman" w:cs="Calibri"/>
                <w:b/>
                <w:color w:val="000000"/>
                <w:sz w:val="22"/>
                <w:szCs w:val="22"/>
              </w:rPr>
              <w:t>&gt;100</w:t>
            </w:r>
          </w:p>
        </w:tc>
      </w:tr>
      <w:tr w:rsidR="008307FD" w:rsidRPr="008307FD" w14:paraId="67B193A5" w14:textId="77777777" w:rsidTr="002635E3">
        <w:trPr>
          <w:trHeight w:val="300"/>
        </w:trPr>
        <w:tc>
          <w:tcPr>
            <w:tcW w:w="2601" w:type="dxa"/>
            <w:tcBorders>
              <w:top w:val="nil"/>
              <w:left w:val="nil"/>
              <w:bottom w:val="nil"/>
              <w:right w:val="nil"/>
            </w:tcBorders>
            <w:shd w:val="clear" w:color="auto" w:fill="auto"/>
            <w:noWrap/>
            <w:vAlign w:val="bottom"/>
            <w:hideMark/>
          </w:tcPr>
          <w:p w14:paraId="0928A29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GBQ</w:t>
            </w:r>
          </w:p>
        </w:tc>
        <w:tc>
          <w:tcPr>
            <w:tcW w:w="1403" w:type="dxa"/>
            <w:tcBorders>
              <w:top w:val="nil"/>
              <w:left w:val="nil"/>
              <w:bottom w:val="nil"/>
              <w:right w:val="nil"/>
            </w:tcBorders>
            <w:shd w:val="clear" w:color="auto" w:fill="auto"/>
            <w:noWrap/>
            <w:vAlign w:val="bottom"/>
            <w:hideMark/>
          </w:tcPr>
          <w:p w14:paraId="2383E2EF"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86.6 (23.9)</w:t>
            </w:r>
          </w:p>
        </w:tc>
        <w:tc>
          <w:tcPr>
            <w:tcW w:w="1403" w:type="dxa"/>
            <w:tcBorders>
              <w:top w:val="nil"/>
              <w:left w:val="nil"/>
              <w:bottom w:val="nil"/>
              <w:right w:val="nil"/>
            </w:tcBorders>
            <w:shd w:val="clear" w:color="auto" w:fill="auto"/>
            <w:noWrap/>
            <w:vAlign w:val="bottom"/>
            <w:hideMark/>
          </w:tcPr>
          <w:p w14:paraId="6FF5A978"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38.2 (19.7)</w:t>
            </w:r>
          </w:p>
        </w:tc>
        <w:tc>
          <w:tcPr>
            <w:tcW w:w="1048" w:type="dxa"/>
            <w:gridSpan w:val="2"/>
            <w:tcBorders>
              <w:top w:val="nil"/>
              <w:left w:val="nil"/>
              <w:bottom w:val="nil"/>
              <w:right w:val="nil"/>
            </w:tcBorders>
            <w:shd w:val="clear" w:color="auto" w:fill="auto"/>
            <w:noWrap/>
            <w:vAlign w:val="bottom"/>
            <w:hideMark/>
          </w:tcPr>
          <w:p w14:paraId="12BA9FD3"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b/>
                <w:color w:val="000000"/>
                <w:sz w:val="22"/>
                <w:szCs w:val="22"/>
              </w:rPr>
              <w:t>&lt;0.001</w:t>
            </w:r>
          </w:p>
        </w:tc>
        <w:tc>
          <w:tcPr>
            <w:tcW w:w="1048" w:type="dxa"/>
            <w:gridSpan w:val="2"/>
            <w:tcBorders>
              <w:top w:val="nil"/>
              <w:left w:val="nil"/>
              <w:bottom w:val="nil"/>
              <w:right w:val="nil"/>
            </w:tcBorders>
          </w:tcPr>
          <w:p w14:paraId="368F1812" w14:textId="77777777" w:rsidR="008307FD" w:rsidRPr="008307FD" w:rsidRDefault="008307FD" w:rsidP="002635E3">
            <w:pPr>
              <w:spacing w:line="360" w:lineRule="auto"/>
              <w:jc w:val="both"/>
              <w:rPr>
                <w:rFonts w:eastAsia="Times New Roman" w:cs="Calibri"/>
                <w:b/>
                <w:color w:val="000000"/>
                <w:sz w:val="22"/>
                <w:szCs w:val="22"/>
              </w:rPr>
            </w:pPr>
            <w:r w:rsidRPr="008307FD">
              <w:rPr>
                <w:rFonts w:eastAsia="Times New Roman" w:cs="Calibri"/>
                <w:b/>
                <w:color w:val="000000"/>
                <w:sz w:val="22"/>
                <w:szCs w:val="22"/>
              </w:rPr>
              <w:t>&gt;100</w:t>
            </w:r>
          </w:p>
        </w:tc>
      </w:tr>
      <w:tr w:rsidR="008307FD" w:rsidRPr="008307FD" w14:paraId="107335A9" w14:textId="77777777" w:rsidTr="002635E3">
        <w:trPr>
          <w:trHeight w:val="300"/>
        </w:trPr>
        <w:tc>
          <w:tcPr>
            <w:tcW w:w="2601" w:type="dxa"/>
            <w:tcBorders>
              <w:top w:val="nil"/>
              <w:left w:val="nil"/>
              <w:bottom w:val="nil"/>
              <w:right w:val="nil"/>
            </w:tcBorders>
            <w:shd w:val="clear" w:color="auto" w:fill="auto"/>
            <w:noWrap/>
            <w:vAlign w:val="bottom"/>
            <w:hideMark/>
          </w:tcPr>
          <w:p w14:paraId="40BEE01D"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lastRenderedPageBreak/>
              <w:t>GD duration (years)</w:t>
            </w:r>
          </w:p>
        </w:tc>
        <w:tc>
          <w:tcPr>
            <w:tcW w:w="1403" w:type="dxa"/>
            <w:tcBorders>
              <w:top w:val="nil"/>
              <w:left w:val="nil"/>
              <w:bottom w:val="nil"/>
              <w:right w:val="nil"/>
            </w:tcBorders>
            <w:shd w:val="clear" w:color="auto" w:fill="auto"/>
            <w:noWrap/>
            <w:vAlign w:val="bottom"/>
            <w:hideMark/>
          </w:tcPr>
          <w:p w14:paraId="3EC338EA"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10.7 (9.6)</w:t>
            </w:r>
          </w:p>
        </w:tc>
        <w:tc>
          <w:tcPr>
            <w:tcW w:w="1403" w:type="dxa"/>
            <w:tcBorders>
              <w:top w:val="nil"/>
              <w:left w:val="nil"/>
              <w:bottom w:val="nil"/>
              <w:right w:val="nil"/>
            </w:tcBorders>
            <w:shd w:val="clear" w:color="auto" w:fill="auto"/>
            <w:noWrap/>
            <w:vAlign w:val="bottom"/>
            <w:hideMark/>
          </w:tcPr>
          <w:p w14:paraId="3AD8BB85"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w:t>
            </w:r>
          </w:p>
        </w:tc>
        <w:tc>
          <w:tcPr>
            <w:tcW w:w="1048" w:type="dxa"/>
            <w:gridSpan w:val="2"/>
            <w:tcBorders>
              <w:top w:val="nil"/>
              <w:left w:val="nil"/>
              <w:bottom w:val="nil"/>
              <w:right w:val="nil"/>
            </w:tcBorders>
            <w:shd w:val="clear" w:color="auto" w:fill="auto"/>
            <w:noWrap/>
            <w:vAlign w:val="bottom"/>
            <w:hideMark/>
          </w:tcPr>
          <w:p w14:paraId="3AC2E41B"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w:t>
            </w:r>
          </w:p>
        </w:tc>
        <w:tc>
          <w:tcPr>
            <w:tcW w:w="1048" w:type="dxa"/>
            <w:gridSpan w:val="2"/>
            <w:tcBorders>
              <w:top w:val="nil"/>
              <w:left w:val="nil"/>
              <w:bottom w:val="nil"/>
              <w:right w:val="nil"/>
            </w:tcBorders>
          </w:tcPr>
          <w:p w14:paraId="72A3D3EC" w14:textId="77777777" w:rsidR="008307FD" w:rsidRPr="008307FD" w:rsidRDefault="008307FD" w:rsidP="002635E3">
            <w:pPr>
              <w:spacing w:line="360" w:lineRule="auto"/>
              <w:jc w:val="both"/>
              <w:rPr>
                <w:rFonts w:eastAsia="Times New Roman" w:cs="Calibri"/>
                <w:color w:val="000000"/>
                <w:sz w:val="22"/>
                <w:szCs w:val="22"/>
              </w:rPr>
            </w:pPr>
          </w:p>
        </w:tc>
      </w:tr>
      <w:tr w:rsidR="008307FD" w:rsidRPr="008307FD" w14:paraId="647FDF00" w14:textId="77777777" w:rsidTr="002635E3">
        <w:trPr>
          <w:trHeight w:val="300"/>
        </w:trPr>
        <w:tc>
          <w:tcPr>
            <w:tcW w:w="2601" w:type="dxa"/>
            <w:tcBorders>
              <w:top w:val="nil"/>
              <w:left w:val="nil"/>
              <w:bottom w:val="single" w:sz="4" w:space="0" w:color="auto"/>
              <w:right w:val="nil"/>
            </w:tcBorders>
            <w:shd w:val="clear" w:color="auto" w:fill="auto"/>
            <w:noWrap/>
            <w:vAlign w:val="bottom"/>
          </w:tcPr>
          <w:p w14:paraId="63F9A11B"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Weeks abstinent</w:t>
            </w:r>
          </w:p>
        </w:tc>
        <w:tc>
          <w:tcPr>
            <w:tcW w:w="1403" w:type="dxa"/>
            <w:tcBorders>
              <w:top w:val="nil"/>
              <w:left w:val="nil"/>
              <w:bottom w:val="single" w:sz="4" w:space="0" w:color="auto"/>
              <w:right w:val="nil"/>
            </w:tcBorders>
            <w:shd w:val="clear" w:color="auto" w:fill="auto"/>
            <w:noWrap/>
            <w:vAlign w:val="bottom"/>
          </w:tcPr>
          <w:p w14:paraId="5E49C485" w14:textId="302D6553"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1</w:t>
            </w:r>
            <w:r w:rsidR="00087876">
              <w:rPr>
                <w:rFonts w:eastAsia="Times New Roman" w:cs="Calibri"/>
                <w:color w:val="000000"/>
                <w:sz w:val="22"/>
                <w:szCs w:val="22"/>
              </w:rPr>
              <w:t>8</w:t>
            </w:r>
            <w:r w:rsidRPr="008307FD">
              <w:rPr>
                <w:rFonts w:eastAsia="Times New Roman" w:cs="Calibri"/>
                <w:color w:val="000000"/>
                <w:sz w:val="22"/>
                <w:szCs w:val="22"/>
              </w:rPr>
              <w:t>.5 (22.</w:t>
            </w:r>
            <w:r w:rsidR="00087876">
              <w:rPr>
                <w:rFonts w:eastAsia="Times New Roman" w:cs="Calibri"/>
                <w:color w:val="000000"/>
                <w:sz w:val="22"/>
                <w:szCs w:val="22"/>
              </w:rPr>
              <w:t>9</w:t>
            </w:r>
            <w:r w:rsidRPr="008307FD">
              <w:rPr>
                <w:rFonts w:eastAsia="Times New Roman" w:cs="Calibri"/>
                <w:color w:val="000000"/>
                <w:sz w:val="22"/>
                <w:szCs w:val="22"/>
              </w:rPr>
              <w:t>)</w:t>
            </w:r>
          </w:p>
        </w:tc>
        <w:tc>
          <w:tcPr>
            <w:tcW w:w="1403" w:type="dxa"/>
            <w:tcBorders>
              <w:top w:val="nil"/>
              <w:left w:val="nil"/>
              <w:bottom w:val="single" w:sz="4" w:space="0" w:color="auto"/>
              <w:right w:val="nil"/>
            </w:tcBorders>
            <w:shd w:val="clear" w:color="auto" w:fill="auto"/>
            <w:noWrap/>
            <w:vAlign w:val="bottom"/>
          </w:tcPr>
          <w:p w14:paraId="09D9AC6E"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w:t>
            </w:r>
          </w:p>
        </w:tc>
        <w:tc>
          <w:tcPr>
            <w:tcW w:w="1048" w:type="dxa"/>
            <w:gridSpan w:val="2"/>
            <w:tcBorders>
              <w:top w:val="nil"/>
              <w:left w:val="nil"/>
              <w:bottom w:val="single" w:sz="4" w:space="0" w:color="auto"/>
              <w:right w:val="nil"/>
            </w:tcBorders>
            <w:shd w:val="clear" w:color="auto" w:fill="auto"/>
            <w:noWrap/>
            <w:vAlign w:val="bottom"/>
          </w:tcPr>
          <w:p w14:paraId="2A9CB6E2" w14:textId="77777777" w:rsidR="008307FD" w:rsidRPr="008307FD" w:rsidRDefault="008307FD" w:rsidP="002635E3">
            <w:pPr>
              <w:spacing w:line="360" w:lineRule="auto"/>
              <w:jc w:val="both"/>
              <w:rPr>
                <w:rFonts w:eastAsia="Times New Roman" w:cs="Calibri"/>
                <w:color w:val="000000"/>
                <w:sz w:val="22"/>
                <w:szCs w:val="22"/>
              </w:rPr>
            </w:pPr>
            <w:r w:rsidRPr="008307FD">
              <w:rPr>
                <w:rFonts w:eastAsia="Times New Roman" w:cs="Calibri"/>
                <w:color w:val="000000"/>
                <w:sz w:val="22"/>
                <w:szCs w:val="22"/>
              </w:rPr>
              <w:t>-</w:t>
            </w:r>
          </w:p>
        </w:tc>
        <w:tc>
          <w:tcPr>
            <w:tcW w:w="1048" w:type="dxa"/>
            <w:gridSpan w:val="2"/>
            <w:tcBorders>
              <w:top w:val="nil"/>
              <w:left w:val="nil"/>
              <w:bottom w:val="single" w:sz="4" w:space="0" w:color="auto"/>
              <w:right w:val="nil"/>
            </w:tcBorders>
          </w:tcPr>
          <w:p w14:paraId="0D0B940D" w14:textId="77777777" w:rsidR="008307FD" w:rsidRPr="008307FD" w:rsidRDefault="008307FD" w:rsidP="002635E3">
            <w:pPr>
              <w:spacing w:line="360" w:lineRule="auto"/>
              <w:jc w:val="both"/>
              <w:rPr>
                <w:rFonts w:eastAsia="Times New Roman" w:cs="Calibri"/>
                <w:color w:val="000000"/>
                <w:sz w:val="22"/>
                <w:szCs w:val="22"/>
              </w:rPr>
            </w:pPr>
          </w:p>
        </w:tc>
      </w:tr>
    </w:tbl>
    <w:p w14:paraId="29D6B04F" w14:textId="77777777" w:rsidR="008307FD" w:rsidRPr="008307FD" w:rsidRDefault="008307FD" w:rsidP="008307FD">
      <w:pPr>
        <w:jc w:val="both"/>
        <w:rPr>
          <w:rFonts w:cs="Calibri"/>
          <w:b/>
          <w:sz w:val="20"/>
          <w:szCs w:val="20"/>
        </w:rPr>
      </w:pPr>
      <w:r w:rsidRPr="008307FD">
        <w:rPr>
          <w:rFonts w:cs="Calibri"/>
          <w:b/>
          <w:sz w:val="20"/>
          <w:szCs w:val="20"/>
        </w:rPr>
        <w:t xml:space="preserve"> </w:t>
      </w:r>
    </w:p>
    <w:p w14:paraId="3BBAA8F0" w14:textId="77777777" w:rsidR="008307FD" w:rsidRPr="008307FD" w:rsidRDefault="008307FD" w:rsidP="008307FD">
      <w:pPr>
        <w:spacing w:after="120" w:line="480" w:lineRule="auto"/>
        <w:jc w:val="both"/>
        <w:rPr>
          <w:rFonts w:cs="Calibri"/>
          <w:sz w:val="20"/>
          <w:szCs w:val="20"/>
        </w:rPr>
      </w:pPr>
      <w:r w:rsidRPr="008307FD">
        <w:rPr>
          <w:rFonts w:cs="Calibri"/>
          <w:b/>
          <w:i/>
          <w:iCs/>
          <w:sz w:val="20"/>
          <w:szCs w:val="20"/>
        </w:rPr>
        <w:t>Supplementary</w:t>
      </w:r>
      <w:r w:rsidRPr="008307FD">
        <w:rPr>
          <w:rFonts w:cs="Calibri"/>
          <w:sz w:val="20"/>
          <w:szCs w:val="20"/>
        </w:rPr>
        <w:t xml:space="preserve"> </w:t>
      </w:r>
      <w:r w:rsidRPr="008307FD">
        <w:rPr>
          <w:rFonts w:cs="Calibri"/>
          <w:b/>
          <w:i/>
          <w:iCs/>
          <w:sz w:val="20"/>
          <w:szCs w:val="20"/>
        </w:rPr>
        <w:t>Table 2:</w:t>
      </w:r>
      <w:r w:rsidRPr="008307FD">
        <w:rPr>
          <w:rFonts w:cs="Calibri"/>
          <w:i/>
          <w:iCs/>
          <w:sz w:val="20"/>
          <w:szCs w:val="20"/>
        </w:rPr>
        <w:t xml:space="preserve"> </w:t>
      </w:r>
      <w:r w:rsidRPr="008307FD">
        <w:rPr>
          <w:rFonts w:eastAsia="Times New Roman" w:cs="Calibri"/>
          <w:bCs/>
          <w:i/>
          <w:iCs/>
          <w:color w:val="000000"/>
          <w:sz w:val="20"/>
          <w:szCs w:val="20"/>
        </w:rPr>
        <w:t xml:space="preserve">Demographical &amp; Clinical information GD patients and matched controls. GD, Gambling Disordered patients; HC, Healthy Controls; SD, Standard Deviation; IQ, Intelligence Quotient; AUDIT, Alcohol Use Disorders Identification Test; PGSI, Problem Gambling Severity Index; GBQ, Gamblers’ Beliefs Questionnaire; </w:t>
      </w:r>
      <w:r w:rsidRPr="008307FD">
        <w:rPr>
          <w:rFonts w:eastAsia="Times New Roman" w:cs="Calibri"/>
          <w:bCs/>
          <w:i/>
          <w:iCs/>
          <w:color w:val="000000"/>
          <w:sz w:val="20"/>
          <w:szCs w:val="20"/>
          <w:vertAlign w:val="superscript"/>
        </w:rPr>
        <w:t>a</w:t>
      </w:r>
      <w:r w:rsidRPr="008307FD">
        <w:rPr>
          <w:rFonts w:eastAsia="Times New Roman" w:cs="Calibri"/>
          <w:bCs/>
          <w:i/>
          <w:iCs/>
          <w:color w:val="000000"/>
          <w:sz w:val="20"/>
          <w:szCs w:val="20"/>
        </w:rPr>
        <w:t xml:space="preserve">p value of chi-square test; </w:t>
      </w:r>
      <w:proofErr w:type="spellStart"/>
      <w:r w:rsidRPr="008307FD">
        <w:rPr>
          <w:rFonts w:eastAsia="Times New Roman" w:cs="Calibri"/>
          <w:bCs/>
          <w:i/>
          <w:iCs/>
          <w:color w:val="000000"/>
          <w:sz w:val="20"/>
          <w:szCs w:val="20"/>
          <w:vertAlign w:val="superscript"/>
        </w:rPr>
        <w:t>b</w:t>
      </w:r>
      <w:r w:rsidRPr="008307FD">
        <w:rPr>
          <w:rFonts w:eastAsia="Times New Roman" w:cs="Calibri"/>
          <w:bCs/>
          <w:i/>
          <w:iCs/>
          <w:color w:val="000000"/>
          <w:sz w:val="20"/>
          <w:szCs w:val="20"/>
        </w:rPr>
        <w:t>Bayesian</w:t>
      </w:r>
      <w:proofErr w:type="spellEnd"/>
      <w:r w:rsidRPr="008307FD">
        <w:rPr>
          <w:rFonts w:eastAsia="Times New Roman" w:cs="Calibri"/>
          <w:bCs/>
          <w:i/>
          <w:iCs/>
          <w:color w:val="000000"/>
          <w:sz w:val="20"/>
          <w:szCs w:val="20"/>
        </w:rPr>
        <w:t xml:space="preserve"> contingency table using joint multinomial </w:t>
      </w:r>
      <w:proofErr w:type="gramStart"/>
      <w:r w:rsidRPr="008307FD">
        <w:rPr>
          <w:rFonts w:eastAsia="Times New Roman" w:cs="Calibri"/>
          <w:bCs/>
          <w:i/>
          <w:iCs/>
          <w:color w:val="000000"/>
          <w:sz w:val="20"/>
          <w:szCs w:val="20"/>
        </w:rPr>
        <w:t>test..</w:t>
      </w:r>
      <w:proofErr w:type="gramEnd"/>
      <w:r w:rsidRPr="008307FD">
        <w:rPr>
          <w:rFonts w:eastAsia="Times New Roman" w:cs="Calibri"/>
          <w:bCs/>
          <w:i/>
          <w:iCs/>
          <w:color w:val="000000"/>
          <w:sz w:val="20"/>
          <w:szCs w:val="20"/>
        </w:rPr>
        <w:t xml:space="preserve"> BF</w:t>
      </w:r>
      <w:r w:rsidRPr="008307FD">
        <w:rPr>
          <w:rFonts w:eastAsia="Times New Roman" w:cs="Calibri"/>
          <w:bCs/>
          <w:i/>
          <w:iCs/>
          <w:color w:val="000000"/>
          <w:sz w:val="20"/>
          <w:szCs w:val="20"/>
          <w:vertAlign w:val="subscript"/>
        </w:rPr>
        <w:t>10</w:t>
      </w:r>
      <w:r w:rsidRPr="008307FD">
        <w:rPr>
          <w:rFonts w:eastAsia="Times New Roman" w:cs="Calibri"/>
          <w:bCs/>
          <w:i/>
          <w:iCs/>
          <w:color w:val="000000"/>
          <w:sz w:val="20"/>
          <w:szCs w:val="20"/>
        </w:rPr>
        <w:t>: Bayes Factor that quantifies the relative evidence in favor of the null (</w:t>
      </w:r>
      <w:proofErr w:type="gramStart"/>
      <w:r w:rsidRPr="008307FD">
        <w:rPr>
          <w:rFonts w:eastAsia="Times New Roman" w:cs="Calibri"/>
          <w:bCs/>
          <w:i/>
          <w:iCs/>
          <w:color w:val="000000"/>
          <w:sz w:val="20"/>
          <w:szCs w:val="20"/>
        </w:rPr>
        <w:t>i.e.</w:t>
      </w:r>
      <w:proofErr w:type="gramEnd"/>
      <w:r w:rsidRPr="008307FD">
        <w:rPr>
          <w:rFonts w:eastAsia="Times New Roman" w:cs="Calibri"/>
          <w:bCs/>
          <w:i/>
          <w:iCs/>
          <w:color w:val="000000"/>
          <w:sz w:val="20"/>
          <w:szCs w:val="20"/>
        </w:rPr>
        <w:t xml:space="preserve"> groups do not differ, BF</w:t>
      </w:r>
      <w:r w:rsidRPr="008307FD">
        <w:rPr>
          <w:rFonts w:eastAsia="Times New Roman" w:cs="Calibri"/>
          <w:bCs/>
          <w:i/>
          <w:iCs/>
          <w:color w:val="000000"/>
          <w:sz w:val="20"/>
          <w:szCs w:val="20"/>
          <w:vertAlign w:val="subscript"/>
        </w:rPr>
        <w:t>10</w:t>
      </w:r>
      <w:r w:rsidRPr="008307FD">
        <w:rPr>
          <w:rFonts w:eastAsia="Times New Roman" w:cs="Calibri"/>
          <w:bCs/>
          <w:i/>
          <w:iCs/>
          <w:color w:val="000000"/>
          <w:sz w:val="20"/>
          <w:szCs w:val="20"/>
        </w:rPr>
        <w:t>&lt;1) or the alternative (groups differ, BF</w:t>
      </w:r>
      <w:r w:rsidRPr="008307FD">
        <w:rPr>
          <w:rFonts w:eastAsia="Times New Roman" w:cs="Calibri"/>
          <w:bCs/>
          <w:i/>
          <w:iCs/>
          <w:color w:val="000000"/>
          <w:sz w:val="20"/>
          <w:szCs w:val="20"/>
          <w:vertAlign w:val="subscript"/>
        </w:rPr>
        <w:t>10</w:t>
      </w:r>
      <w:r w:rsidRPr="008307FD">
        <w:rPr>
          <w:rFonts w:eastAsia="Times New Roman" w:cs="Calibri"/>
          <w:bCs/>
          <w:i/>
          <w:iCs/>
          <w:color w:val="000000"/>
          <w:sz w:val="20"/>
          <w:szCs w:val="20"/>
        </w:rPr>
        <w:t>&gt;1) hypothesis, with BF</w:t>
      </w:r>
      <w:r w:rsidRPr="008307FD">
        <w:rPr>
          <w:rFonts w:eastAsia="Times New Roman" w:cs="Calibri"/>
          <w:bCs/>
          <w:i/>
          <w:iCs/>
          <w:color w:val="000000"/>
          <w:sz w:val="20"/>
          <w:szCs w:val="20"/>
          <w:vertAlign w:val="subscript"/>
        </w:rPr>
        <w:t>10</w:t>
      </w:r>
      <w:r w:rsidRPr="008307FD">
        <w:rPr>
          <w:rFonts w:eastAsia="Times New Roman" w:cs="Calibri"/>
          <w:bCs/>
          <w:i/>
          <w:iCs/>
          <w:color w:val="000000"/>
          <w:sz w:val="20"/>
          <w:szCs w:val="20"/>
        </w:rPr>
        <w:t xml:space="preserve"> between 1 and 3 reflecting anecdotal evidence and higher than 100 extreme evidence.</w:t>
      </w:r>
    </w:p>
    <w:p w14:paraId="60061E4C" w14:textId="77777777" w:rsidR="008307FD" w:rsidRPr="008307FD" w:rsidRDefault="008307FD" w:rsidP="008307FD">
      <w:pPr>
        <w:spacing w:after="120" w:line="480" w:lineRule="auto"/>
        <w:jc w:val="both"/>
        <w:rPr>
          <w:rFonts w:cs="Arial"/>
          <w:sz w:val="22"/>
          <w:szCs w:val="22"/>
        </w:rPr>
      </w:pPr>
    </w:p>
    <w:p w14:paraId="1164E2A0" w14:textId="77777777" w:rsidR="00192F00" w:rsidRPr="00E9319E" w:rsidRDefault="00192F00" w:rsidP="00E9319E">
      <w:pPr>
        <w:spacing w:after="120" w:line="480" w:lineRule="auto"/>
        <w:rPr>
          <w:b/>
          <w:sz w:val="22"/>
          <w:szCs w:val="22"/>
          <w:u w:val="single"/>
        </w:rPr>
      </w:pPr>
      <w:r w:rsidRPr="00E9319E">
        <w:rPr>
          <w:b/>
          <w:sz w:val="22"/>
          <w:szCs w:val="22"/>
          <w:u w:val="single"/>
        </w:rPr>
        <w:t>Task instructions and procedure</w:t>
      </w:r>
    </w:p>
    <w:p w14:paraId="3EC0C760" w14:textId="77777777" w:rsidR="00192F00" w:rsidRPr="00E9319E" w:rsidRDefault="00192F00" w:rsidP="00E9319E">
      <w:pPr>
        <w:spacing w:after="120" w:line="480" w:lineRule="auto"/>
        <w:rPr>
          <w:sz w:val="22"/>
          <w:szCs w:val="22"/>
          <w:lang w:val="en-GB"/>
        </w:rPr>
      </w:pPr>
      <w:r w:rsidRPr="00E9319E">
        <w:rPr>
          <w:sz w:val="22"/>
          <w:szCs w:val="22"/>
        </w:rPr>
        <w:t xml:space="preserve">Participants were instructed to respond to a target as quickly as possible </w:t>
      </w:r>
      <w:proofErr w:type="gramStart"/>
      <w:r w:rsidRPr="00E9319E">
        <w:rPr>
          <w:sz w:val="22"/>
          <w:szCs w:val="22"/>
        </w:rPr>
        <w:t>in order to</w:t>
      </w:r>
      <w:proofErr w:type="gramEnd"/>
      <w:r w:rsidRPr="00E9319E">
        <w:rPr>
          <w:sz w:val="22"/>
          <w:szCs w:val="22"/>
        </w:rPr>
        <w:t xml:space="preserve"> gain monetary rewards. They were trained until criterion (three correct responses) before entering the scanner to assure a basic understanding of the task. Figure 2 shows a schematic overview of the experimental paradigm. During each trial, participants could earn 1 or 50 cents, indicated by a coin overlaid on a background picture (alcohol or neutral). Participants were instructed to pay special attention to the background pictures, as they would have to answer questions about them after the experiment. Next, a crosshair was </w:t>
      </w:r>
      <w:proofErr w:type="gramStart"/>
      <w:r w:rsidRPr="00E9319E">
        <w:rPr>
          <w:sz w:val="22"/>
          <w:szCs w:val="22"/>
        </w:rPr>
        <w:t>shown</w:t>
      </w:r>
      <w:proofErr w:type="gramEnd"/>
      <w:r w:rsidRPr="00E9319E">
        <w:rPr>
          <w:sz w:val="22"/>
          <w:szCs w:val="22"/>
        </w:rPr>
        <w:t xml:space="preserve"> and participants were instructed to respond as fast as possible to the target</w:t>
      </w:r>
      <w:r w:rsidRPr="00E9319E">
        <w:rPr>
          <w:sz w:val="22"/>
          <w:szCs w:val="22"/>
          <w:lang w:val="en-GB"/>
        </w:rPr>
        <w:t>. Target duration was adjusted through</w:t>
      </w:r>
      <w:r w:rsidRPr="00E9319E">
        <w:rPr>
          <w:sz w:val="22"/>
          <w:szCs w:val="22"/>
        </w:rPr>
        <w:t xml:space="preserve"> </w:t>
      </w:r>
      <w:r w:rsidRPr="00E9319E">
        <w:rPr>
          <w:sz w:val="22"/>
          <w:szCs w:val="22"/>
          <w:lang w:val="en-GB"/>
        </w:rPr>
        <w:t>﻿an adaptive algorithm</w:t>
      </w:r>
      <w:r w:rsidRPr="00E9319E">
        <w:rPr>
          <w:sz w:val="22"/>
          <w:szCs w:val="22"/>
        </w:rPr>
        <w:t xml:space="preserve"> (-10ms following hit, +20ms following miss) </w:t>
      </w:r>
      <w:r w:rsidRPr="00E9319E">
        <w:rPr>
          <w:sz w:val="22"/>
          <w:szCs w:val="22"/>
          <w:lang w:val="en-GB"/>
        </w:rPr>
        <w:t>for each condition individually,</w:t>
      </w:r>
      <w:r w:rsidRPr="00E9319E">
        <w:rPr>
          <w:sz w:val="22"/>
          <w:szCs w:val="22"/>
        </w:rPr>
        <w:t xml:space="preserve"> such that participants should succeed on </w:t>
      </w:r>
      <w:r w:rsidRPr="00E9319E">
        <w:rPr>
          <w:sz w:val="22"/>
          <w:szCs w:val="22"/>
          <w:lang w:val="en-GB"/>
        </w:rPr>
        <w:t>~66% of the trials. Premature and late responses were defined as misses. Feedback about current and cumulative earnings was provided, followed by a fixation cross before a new trial started.</w:t>
      </w:r>
    </w:p>
    <w:p w14:paraId="16CEC804" w14:textId="41AC289C" w:rsidR="000C7BCD" w:rsidRPr="00224B4B" w:rsidRDefault="005123F4" w:rsidP="00E9319E">
      <w:pPr>
        <w:spacing w:after="120" w:line="480" w:lineRule="auto"/>
        <w:rPr>
          <w:b/>
          <w:sz w:val="22"/>
          <w:szCs w:val="22"/>
          <w:u w:val="single"/>
        </w:rPr>
      </w:pPr>
      <w:r w:rsidRPr="00E9319E">
        <w:rPr>
          <w:sz w:val="22"/>
          <w:szCs w:val="22"/>
          <w:lang w:val="en-GB"/>
        </w:rPr>
        <w:t>The task was programmed in E-Prime 2.0 software (Psychology Software Tools, Pittsburgh, Pennsylvania)</w:t>
      </w:r>
      <w:r w:rsidR="00931B15" w:rsidRPr="00E9319E">
        <w:rPr>
          <w:sz w:val="22"/>
          <w:szCs w:val="22"/>
          <w:lang w:val="en-GB"/>
        </w:rPr>
        <w:t xml:space="preserve"> and presented in the scanner on a </w:t>
      </w:r>
      <w:r w:rsidR="00931B15" w:rsidRPr="00E9319E">
        <w:rPr>
          <w:rFonts w:cs="Arial"/>
          <w:sz w:val="22"/>
          <w:szCs w:val="22"/>
        </w:rPr>
        <w:t xml:space="preserve">32 LCD </w:t>
      </w:r>
      <w:proofErr w:type="spellStart"/>
      <w:r w:rsidR="00931B15" w:rsidRPr="00E9319E">
        <w:rPr>
          <w:rFonts w:cs="Arial"/>
          <w:sz w:val="22"/>
          <w:szCs w:val="22"/>
        </w:rPr>
        <w:t>BOLDscreen</w:t>
      </w:r>
      <w:proofErr w:type="spellEnd"/>
      <w:r w:rsidR="00931B15" w:rsidRPr="00E9319E">
        <w:rPr>
          <w:rFonts w:cs="Arial"/>
          <w:sz w:val="22"/>
          <w:szCs w:val="22"/>
        </w:rPr>
        <w:t xml:space="preserve"> (Cambridge Research Systems). </w:t>
      </w:r>
      <w:r w:rsidR="00A83363" w:rsidRPr="00E9319E">
        <w:rPr>
          <w:rFonts w:cs="Arial"/>
          <w:sz w:val="22"/>
          <w:szCs w:val="22"/>
        </w:rPr>
        <w:t xml:space="preserve">Participants </w:t>
      </w:r>
      <w:r w:rsidR="00A83363" w:rsidRPr="00E9319E">
        <w:rPr>
          <w:rFonts w:cs="Arial"/>
          <w:noProof/>
          <w:sz w:val="22"/>
          <w:szCs w:val="22"/>
        </w:rPr>
        <w:t>were told</w:t>
      </w:r>
      <w:r w:rsidR="00A83363" w:rsidRPr="00E9319E">
        <w:rPr>
          <w:rFonts w:cs="Arial"/>
          <w:sz w:val="22"/>
          <w:szCs w:val="22"/>
        </w:rPr>
        <w:t xml:space="preserve"> they should use their right index finger to respond on the MRI-compatible </w:t>
      </w:r>
      <w:r w:rsidR="00A83363" w:rsidRPr="00E9319E">
        <w:rPr>
          <w:rFonts w:cs="Arial"/>
          <w:noProof/>
          <w:sz w:val="22"/>
          <w:szCs w:val="22"/>
        </w:rPr>
        <w:t>button box</w:t>
      </w:r>
      <w:r w:rsidR="00A83363" w:rsidRPr="00E9319E">
        <w:rPr>
          <w:rFonts w:cs="Arial"/>
          <w:sz w:val="22"/>
          <w:szCs w:val="22"/>
        </w:rPr>
        <w:t xml:space="preserve"> (</w:t>
      </w:r>
      <w:proofErr w:type="spellStart"/>
      <w:r w:rsidR="00A83363" w:rsidRPr="00E9319E">
        <w:rPr>
          <w:rFonts w:cs="Arial"/>
          <w:noProof/>
          <w:sz w:val="22"/>
          <w:szCs w:val="22"/>
        </w:rPr>
        <w:t>CurrentDesigns</w:t>
      </w:r>
      <w:proofErr w:type="spellEnd"/>
      <w:r w:rsidR="00A83363" w:rsidRPr="00E9319E">
        <w:rPr>
          <w:rFonts w:cs="Arial"/>
          <w:sz w:val="22"/>
          <w:szCs w:val="22"/>
        </w:rPr>
        <w:t>).</w:t>
      </w:r>
    </w:p>
    <w:p w14:paraId="4B54149D" w14:textId="77777777" w:rsidR="00433E00" w:rsidRPr="00E9319E" w:rsidRDefault="00433E00" w:rsidP="00E9319E">
      <w:pPr>
        <w:spacing w:after="120" w:line="480" w:lineRule="auto"/>
        <w:rPr>
          <w:b/>
          <w:sz w:val="22"/>
          <w:szCs w:val="22"/>
          <w:u w:val="single"/>
        </w:rPr>
      </w:pPr>
      <w:r w:rsidRPr="00E9319E">
        <w:rPr>
          <w:b/>
          <w:sz w:val="22"/>
          <w:szCs w:val="22"/>
          <w:u w:val="single"/>
        </w:rPr>
        <w:lastRenderedPageBreak/>
        <w:t xml:space="preserve">MRI acquisition </w:t>
      </w:r>
    </w:p>
    <w:p w14:paraId="688264B5" w14:textId="77777777" w:rsidR="00433E00" w:rsidRPr="00E9319E" w:rsidRDefault="00433E00" w:rsidP="00E9319E">
      <w:pPr>
        <w:spacing w:after="120" w:line="480" w:lineRule="auto"/>
        <w:rPr>
          <w:b/>
          <w:sz w:val="22"/>
          <w:szCs w:val="22"/>
          <w:u w:val="single"/>
        </w:rPr>
      </w:pPr>
      <w:r w:rsidRPr="00E9319E">
        <w:rPr>
          <w:rFonts w:cs="Arial"/>
          <w:sz w:val="22"/>
          <w:szCs w:val="22"/>
        </w:rPr>
        <w:t xml:space="preserve">Magnetic resonance imaging (MRI) </w:t>
      </w:r>
      <w:r w:rsidRPr="00E9319E">
        <w:rPr>
          <w:rFonts w:cs="Arial"/>
          <w:noProof/>
          <w:sz w:val="22"/>
          <w:szCs w:val="22"/>
        </w:rPr>
        <w:t>was performed</w:t>
      </w:r>
      <w:r w:rsidRPr="00E9319E">
        <w:rPr>
          <w:rFonts w:cs="Arial"/>
          <w:sz w:val="22"/>
          <w:szCs w:val="22"/>
        </w:rPr>
        <w:t xml:space="preserve"> on a 3 </w:t>
      </w:r>
      <w:r w:rsidRPr="00E9319E">
        <w:rPr>
          <w:rFonts w:cs="Arial"/>
          <w:noProof/>
          <w:sz w:val="22"/>
          <w:szCs w:val="22"/>
        </w:rPr>
        <w:t>Tesla</w:t>
      </w:r>
      <w:r w:rsidRPr="00E9319E">
        <w:rPr>
          <w:rFonts w:cs="Arial"/>
          <w:sz w:val="22"/>
          <w:szCs w:val="22"/>
        </w:rPr>
        <w:t xml:space="preserve">, full-body </w:t>
      </w:r>
      <w:proofErr w:type="spellStart"/>
      <w:r w:rsidRPr="00E9319E">
        <w:rPr>
          <w:rFonts w:cs="Arial"/>
          <w:sz w:val="22"/>
          <w:szCs w:val="22"/>
        </w:rPr>
        <w:t>Intera</w:t>
      </w:r>
      <w:proofErr w:type="spellEnd"/>
      <w:r w:rsidRPr="00E9319E">
        <w:rPr>
          <w:rFonts w:cs="Arial"/>
          <w:sz w:val="22"/>
          <w:szCs w:val="22"/>
        </w:rPr>
        <w:t xml:space="preserve"> MRI scanner (Philips Medical Systems, Best, The Netherlands) equipped with a 32-channel phased array SENSE radiofrequency (RF) receiver head coil. A high-resolution T1-weighted structural image was acquired for each participant (6.862 </w:t>
      </w:r>
      <w:proofErr w:type="spellStart"/>
      <w:r w:rsidRPr="00E9319E">
        <w:rPr>
          <w:rFonts w:cs="Arial"/>
          <w:sz w:val="22"/>
          <w:szCs w:val="22"/>
        </w:rPr>
        <w:t>ms</w:t>
      </w:r>
      <w:proofErr w:type="spellEnd"/>
      <w:r w:rsidRPr="00E9319E">
        <w:rPr>
          <w:rFonts w:cs="Arial"/>
          <w:sz w:val="22"/>
          <w:szCs w:val="22"/>
        </w:rPr>
        <w:t xml:space="preserve"> repetition time; 3.14 </w:t>
      </w:r>
      <w:proofErr w:type="spellStart"/>
      <w:r w:rsidRPr="00E9319E">
        <w:rPr>
          <w:rFonts w:cs="Arial"/>
          <w:sz w:val="22"/>
          <w:szCs w:val="22"/>
        </w:rPr>
        <w:t>ms</w:t>
      </w:r>
      <w:proofErr w:type="spellEnd"/>
      <w:r w:rsidRPr="00E9319E">
        <w:rPr>
          <w:rFonts w:cs="Arial"/>
          <w:sz w:val="22"/>
          <w:szCs w:val="22"/>
        </w:rPr>
        <w:t xml:space="preserve"> echo time; 8º flip angle; 1x1x1 mm voxel size; 236.679 x 180 x 256mm field of view; 212 x 212 matrix size; 150 slices; 1.2 mm slice thickness). Functional MRI scans were acquired using a T2*-weighted gradient multi-echo echoplanar imaging sequence (2375 </w:t>
      </w:r>
      <w:proofErr w:type="spellStart"/>
      <w:r w:rsidRPr="00E9319E">
        <w:rPr>
          <w:rFonts w:cs="Arial"/>
          <w:sz w:val="22"/>
          <w:szCs w:val="22"/>
        </w:rPr>
        <w:t>ms</w:t>
      </w:r>
      <w:proofErr w:type="spellEnd"/>
      <w:r w:rsidRPr="00E9319E">
        <w:rPr>
          <w:rFonts w:cs="Arial"/>
          <w:sz w:val="22"/>
          <w:szCs w:val="22"/>
        </w:rPr>
        <w:t xml:space="preserve"> repetition time; 9 / 26.4 / 43.8 </w:t>
      </w:r>
      <w:proofErr w:type="spellStart"/>
      <w:r w:rsidRPr="00E9319E">
        <w:rPr>
          <w:rFonts w:cs="Arial"/>
          <w:sz w:val="22"/>
          <w:szCs w:val="22"/>
        </w:rPr>
        <w:t>ms</w:t>
      </w:r>
      <w:proofErr w:type="spellEnd"/>
      <w:r w:rsidRPr="00E9319E">
        <w:rPr>
          <w:rFonts w:cs="Arial"/>
          <w:sz w:val="22"/>
          <w:szCs w:val="22"/>
        </w:rPr>
        <w:t xml:space="preserve"> echo times; 76º flip angle; 3x2.95x3 mm voxel size; 76 x 73 matrix size; 37 slices, acquired in interleaved order; 3mm slice thickness; 0.3mm slice gap). This sequence </w:t>
      </w:r>
      <w:r w:rsidRPr="00E9319E">
        <w:rPr>
          <w:rFonts w:cs="Arial"/>
          <w:noProof/>
          <w:sz w:val="22"/>
          <w:szCs w:val="22"/>
        </w:rPr>
        <w:t>was chosen</w:t>
      </w:r>
      <w:r w:rsidRPr="00E9319E">
        <w:rPr>
          <w:rFonts w:cs="Arial"/>
          <w:sz w:val="22"/>
          <w:szCs w:val="22"/>
        </w:rPr>
        <w:t xml:space="preserve"> for its improved blood oxygen level dependent (BOLD) sensitivity and lower susceptibility for </w:t>
      </w:r>
      <w:r w:rsidRPr="00E9319E">
        <w:rPr>
          <w:rFonts w:cs="Arial"/>
          <w:noProof/>
          <w:sz w:val="22"/>
          <w:szCs w:val="22"/>
        </w:rPr>
        <w:t>artefacts</w:t>
      </w:r>
      <w:r w:rsidRPr="00E9319E">
        <w:rPr>
          <w:rFonts w:cs="Arial"/>
          <w:sz w:val="22"/>
          <w:szCs w:val="22"/>
        </w:rPr>
        <w:t xml:space="preserve">, especially for ventral regions </w:t>
      </w:r>
      <w:r w:rsidRPr="00E9319E">
        <w:rPr>
          <w:rFonts w:cs="Arial"/>
          <w:sz w:val="22"/>
          <w:szCs w:val="22"/>
        </w:rPr>
        <w:fldChar w:fldCharType="begin" w:fldLock="1"/>
      </w:r>
      <w:r w:rsidR="00E1002C">
        <w:rPr>
          <w:rFonts w:cs="Arial"/>
          <w:sz w:val="22"/>
          <w:szCs w:val="22"/>
        </w:rPr>
        <w:instrText>ADDIN CSL_CITATION {"citationItems":[{"id":"ITEM-1","itemData":{"DOI":"10.1002/mrm.20900","ISBN":"0740-3194 (Print)\\r0740-3194 (Linking)","ISSN":"07403194","PMID":"16680688","abstract":"Functional MRI (fMRI) generally employs gradient-echo echo-planar imaging (GE-EPI) to measure blood oxygen level-dependent (BOLD) signal changes that result from changes in tissue relaxation time T(*) (2) between activation and rest. Since T(*) (2) strongly varies across the brain and BOLD contrast is maximal only where the echo time (TE) equals the local T(*) (2), imaging at a single TE is a compromise in terms of overall sensitivity. Furthermore, the long echo train makes EPI very sensitive to main field inhomogeneities, causing strong image distortion. A method is presented that uses accelerated parallel imaging to reduce image artifacts and acquire images at multiple TEs following a single excitation, with no need to increase TR. Sensitivity gains from the broadened T(*) (2) coverage are optimized by pixelwise weighted echo summation based on local T(*) (2) or contrast-to-noise ratio (CNR) measurements. The method was evaluated using an approach that allows differential BOLD CNR to be calculated without stimulation, as well as with a Stroop experiment. Results obtained at 3 T showed that BOLD sensitivity improved by 11% or more in all brain regions, with larger gains in areas typically affected by strong susceptibility artifacts. The use of parallel imaging markedly reduces image distortion, and hence the method should find widespread application in functional brain imaging.","author":[{"dropping-particle":"","family":"Poser","given":"Benedikt a.","non-dropping-particle":"","parse-names":false,"suffix":""},{"dropping-particle":"","family":"Versluis","given":"Maarten J.","non-dropping-particle":"","parse-names":false,"suffix":""},{"dropping-particle":"","family":"Hoogduin","given":"Johannes M.","non-dropping-particle":"","parse-names":false,"suffix":""},{"dropping-particle":"","family":"Norris","given":"David G.","non-dropping-particle":"","parse-names":false,"suffix":""}],"container-title":"Magnetic Resonance in Medicine","id":"ITEM-1","issue":"6","issued":{"date-parts":[["2006"]]},"page":"1227-1235","title":"BOLD contrast sensitivity enhancement and artifact reduction with multiecho EPI: Parallel-acquired inhomogeneity-desensitized fMRI","type":"article-journal","volume":"55"},"uris":["http://www.mendeley.com/documents/?uuid=0b1f1d2e-aa69-4e8d-98e7-31de261caa31"]}],"mendeley":{"formattedCitation":"(Poser, Versluis, Hoogduin, &amp; Norris, 2006)","plainTextFormattedCitation":"(Poser, Versluis, Hoogduin, &amp; Norris, 2006)","previouslyFormattedCitation":"(Poser, Versluis, Hoogduin, &amp; Norris, 2006)"},"properties":{"noteIndex":0},"schema":"https://github.com/citation-style-language/schema/raw/master/csl-citation.json"}</w:instrText>
      </w:r>
      <w:r w:rsidRPr="00E9319E">
        <w:rPr>
          <w:rFonts w:cs="Arial"/>
          <w:sz w:val="22"/>
          <w:szCs w:val="22"/>
        </w:rPr>
        <w:fldChar w:fldCharType="separate"/>
      </w:r>
      <w:r w:rsidR="00463B50" w:rsidRPr="00E9319E">
        <w:rPr>
          <w:rFonts w:cs="Arial"/>
          <w:noProof/>
          <w:sz w:val="22"/>
          <w:szCs w:val="22"/>
        </w:rPr>
        <w:t>(Poser, Versluis, Hoogduin, &amp; Norris, 2006)</w:t>
      </w:r>
      <w:r w:rsidRPr="00E9319E">
        <w:rPr>
          <w:rFonts w:cs="Arial"/>
          <w:sz w:val="22"/>
          <w:szCs w:val="22"/>
        </w:rPr>
        <w:fldChar w:fldCharType="end"/>
      </w:r>
      <w:r w:rsidRPr="00E9319E">
        <w:rPr>
          <w:rFonts w:cs="Arial"/>
          <w:sz w:val="22"/>
          <w:szCs w:val="22"/>
        </w:rPr>
        <w:t>. The first three scans were discarded to allow T1 saturation to reach equilibrium.</w:t>
      </w:r>
    </w:p>
    <w:p w14:paraId="0AD75978" w14:textId="77777777" w:rsidR="00433E00" w:rsidRPr="00E9319E" w:rsidRDefault="00433E00" w:rsidP="00E9319E">
      <w:pPr>
        <w:spacing w:after="120" w:line="480" w:lineRule="auto"/>
        <w:rPr>
          <w:b/>
          <w:sz w:val="22"/>
          <w:szCs w:val="22"/>
          <w:u w:val="single"/>
        </w:rPr>
      </w:pPr>
      <w:r w:rsidRPr="00E9319E">
        <w:rPr>
          <w:b/>
          <w:sz w:val="22"/>
          <w:szCs w:val="22"/>
          <w:u w:val="single"/>
        </w:rPr>
        <w:t>fMRI preprocessing</w:t>
      </w:r>
    </w:p>
    <w:p w14:paraId="08F61872" w14:textId="77777777" w:rsidR="00433E00" w:rsidRPr="00E9319E" w:rsidRDefault="00053BEB" w:rsidP="00E9319E">
      <w:pPr>
        <w:spacing w:after="120" w:line="480" w:lineRule="auto"/>
        <w:rPr>
          <w:sz w:val="22"/>
          <w:szCs w:val="22"/>
        </w:rPr>
      </w:pPr>
      <w:r w:rsidRPr="00E9319E">
        <w:rPr>
          <w:sz w:val="22"/>
          <w:szCs w:val="22"/>
        </w:rPr>
        <w:t>Imaging data were preprocessed using SPM12 (</w:t>
      </w:r>
      <w:proofErr w:type="spellStart"/>
      <w:r w:rsidRPr="00E9319E">
        <w:rPr>
          <w:sz w:val="22"/>
          <w:szCs w:val="22"/>
        </w:rPr>
        <w:t>Wellcome</w:t>
      </w:r>
      <w:proofErr w:type="spellEnd"/>
      <w:r w:rsidRPr="00E9319E">
        <w:rPr>
          <w:sz w:val="22"/>
          <w:szCs w:val="22"/>
        </w:rPr>
        <w:t xml:space="preserve"> Trust Centre for Neuroimaging, London). Raw multi-echo data were combined as reported in van </w:t>
      </w:r>
      <w:proofErr w:type="spellStart"/>
      <w:r w:rsidRPr="00E9319E">
        <w:rPr>
          <w:sz w:val="22"/>
          <w:szCs w:val="22"/>
        </w:rPr>
        <w:t>Timmeren</w:t>
      </w:r>
      <w:proofErr w:type="spellEnd"/>
      <w:r w:rsidRPr="00E9319E">
        <w:rPr>
          <w:sz w:val="22"/>
          <w:szCs w:val="22"/>
        </w:rPr>
        <w:t xml:space="preserve"> et al. (</w:t>
      </w:r>
      <w:r w:rsidRPr="00E9319E">
        <w:rPr>
          <w:sz w:val="22"/>
          <w:szCs w:val="22"/>
        </w:rPr>
        <w:fldChar w:fldCharType="begin" w:fldLock="1"/>
      </w:r>
      <w:r w:rsidR="00E1002C">
        <w:rPr>
          <w:sz w:val="22"/>
          <w:szCs w:val="22"/>
        </w:rPr>
        <w:instrText>ADDIN CSL_CITATION {"citationItems":[{"id":"ITEM-1","itemData":{"DOI":"10.1080/14459795.2018.1449884","ISSN":"1445-9795","author":[{"dropping-particle":"","family":"Timmeren","given":"Tim","non-dropping-particle":"van","parse-names":false,"suffix":""},{"dropping-particle":"","family":"Zhutovsky","given":"Paul","non-dropping-particle":"","parse-names":false,"suffix":""},{"dropping-particle":"","family":"Holst","given":"Ruth J.","non-dropping-particle":"van","parse-names":false,"suffix":""},{"dropping-particle":"","family":"Goudriaan","given":"Anna E.","non-dropping-particle":"","parse-names":false,"suffix":""}],"container-title":"International Gambling Studies","id":"ITEM-1","issue":"2","issued":{"date-parts":[["2018","5","4"]]},"page":"242-258","publisher":"Routledge","title":"Connectivity networks in gambling disorder: a resting-state fMRI study","type":"article-journal","volume":"18"},"uris":["http://www.mendeley.com/documents/?uuid=dc23a965-83b5-4492-b402-a77800637f32"]}],"mendeley":{"formattedCitation":"(van Timmeren et al., 2018)","manualFormatting":"van Timmeren, Zhutovsky, van Holst, &amp; Goudriaan, 2018)","plainTextFormattedCitation":"(van Timmeren et al., 2018)","previouslyFormattedCitation":"(van Timmeren et al., 2018)"},"properties":{"noteIndex":0},"schema":"https://github.com/citation-style-language/schema/raw/master/csl-citation.json"}</w:instrText>
      </w:r>
      <w:r w:rsidRPr="00E9319E">
        <w:rPr>
          <w:sz w:val="22"/>
          <w:szCs w:val="22"/>
        </w:rPr>
        <w:fldChar w:fldCharType="separate"/>
      </w:r>
      <w:r w:rsidRPr="00E9319E">
        <w:rPr>
          <w:noProof/>
          <w:sz w:val="22"/>
          <w:szCs w:val="22"/>
        </w:rPr>
        <w:t>van Timmeren, Zhutovsky, van Holst, &amp; Goudriaan, 2018)</w:t>
      </w:r>
      <w:r w:rsidRPr="00E9319E">
        <w:rPr>
          <w:sz w:val="22"/>
          <w:szCs w:val="22"/>
        </w:rPr>
        <w:fldChar w:fldCharType="end"/>
      </w:r>
      <w:r w:rsidR="00DE2A42" w:rsidRPr="00E9319E">
        <w:rPr>
          <w:sz w:val="22"/>
          <w:szCs w:val="22"/>
        </w:rPr>
        <w:t xml:space="preserve">. In short, </w:t>
      </w:r>
      <w:r w:rsidRPr="00E9319E">
        <w:rPr>
          <w:sz w:val="22"/>
          <w:szCs w:val="22"/>
        </w:rPr>
        <w:t>r</w:t>
      </w:r>
      <w:r w:rsidR="00433E00" w:rsidRPr="00E9319E">
        <w:rPr>
          <w:sz w:val="22"/>
          <w:szCs w:val="22"/>
        </w:rPr>
        <w:t>ealignment parameters were estimated for the images acquired at the first echo time and consequently applied to images resulting from the two other echoes. Thirty volumes</w:t>
      </w:r>
      <w:r w:rsidR="00DE2A42" w:rsidRPr="00E9319E">
        <w:rPr>
          <w:sz w:val="22"/>
          <w:szCs w:val="22"/>
        </w:rPr>
        <w:t>, acquired from an independent</w:t>
      </w:r>
      <w:r w:rsidR="00433E00" w:rsidRPr="00E9319E">
        <w:rPr>
          <w:sz w:val="22"/>
          <w:szCs w:val="22"/>
        </w:rPr>
        <w:t xml:space="preserve"> </w:t>
      </w:r>
      <w:r w:rsidR="00DE2A42" w:rsidRPr="00E9319E">
        <w:rPr>
          <w:sz w:val="22"/>
          <w:szCs w:val="22"/>
        </w:rPr>
        <w:t xml:space="preserve">run </w:t>
      </w:r>
      <w:r w:rsidR="00433E00" w:rsidRPr="00E9319E">
        <w:rPr>
          <w:sz w:val="22"/>
          <w:szCs w:val="22"/>
        </w:rPr>
        <w:t xml:space="preserve">during which a fixation cross was shown, were used to calculate the optimal weighting of echo times for each voxel by applying a PAID-weight algorithm </w:t>
      </w:r>
      <w:r w:rsidR="00433E00" w:rsidRPr="00E9319E">
        <w:rPr>
          <w:sz w:val="22"/>
          <w:szCs w:val="22"/>
        </w:rPr>
        <w:fldChar w:fldCharType="begin" w:fldLock="1"/>
      </w:r>
      <w:r w:rsidR="00E1002C">
        <w:rPr>
          <w:sz w:val="22"/>
          <w:szCs w:val="22"/>
        </w:rPr>
        <w:instrText>ADDIN CSL_CITATION {"citationItems":[{"id":"ITEM-1","itemData":{"DOI":"10.1002/mrm.20900","ISBN":"0740-3194 (Print)\\r0740-3194 (Linking)","ISSN":"07403194","PMID":"16680688","abstract":"Functional MRI (fMRI) generally employs gradient-echo echo-planar imaging (GE-EPI) to measure blood oxygen level-dependent (BOLD) signal changes that result from changes in tissue relaxation time T(*) (2) between activation and rest. Since T(*) (2) strongly varies across the brain and BOLD contrast is maximal only where the echo time (TE) equals the local T(*) (2), imaging at a single TE is a compromise in terms of overall sensitivity. Furthermore, the long echo train makes EPI very sensitive to main field inhomogeneities, causing strong image distortion. A method is presented that uses accelerated parallel imaging to reduce image artifacts and acquire images at multiple TEs following a single excitation, with no need to increase TR. Sensitivity gains from the broadened T(*) (2) coverage are optimized by pixelwise weighted echo summation based on local T(*) (2) or contrast-to-noise ratio (CNR) measurements. The method was evaluated using an approach that allows differential BOLD CNR to be calculated without stimulation, as well as with a Stroop experiment. Results obtained at 3 T showed that BOLD sensitivity improved by 11% or more in all brain regions, with larger gains in areas typically affected by strong susceptibility artifacts. The use of parallel imaging markedly reduces image distortion, and hence the method should find widespread application in functional brain imaging.","author":[{"dropping-particle":"","family":"Poser","given":"Benedikt a.","non-dropping-particle":"","parse-names":false,"suffix":""},{"dropping-particle":"","family":"Versluis","given":"Maarten J.","non-dropping-particle":"","parse-names":false,"suffix":""},{"dropping-particle":"","family":"Hoogduin","given":"Johannes M.","non-dropping-particle":"","parse-names":false,"suffix":""},{"dropping-particle":"","family":"Norris","given":"David G.","non-dropping-particle":"","parse-names":false,"suffix":""}],"container-title":"Magnetic Resonance in Medicine","id":"ITEM-1","issue":"6","issued":{"date-parts":[["2006"]]},"page":"1227-1235","title":"BOLD contrast sensitivity enhancement and artifact reduction with multiecho EPI: Parallel-acquired inhomogeneity-desensitized fMRI","type":"article-journal","volume":"55"},"uris":["http://www.mendeley.com/documents/?uuid=0b1f1d2e-aa69-4e8d-98e7-31de261caa31"]}],"mendeley":{"formattedCitation":"(Poser et al., 2006)","plainTextFormattedCitation":"(Poser et al., 2006)","previouslyFormattedCitation":"(Poser et al., 2006)"},"properties":{"noteIndex":0},"schema":"https://github.com/citation-style-language/schema/raw/master/csl-citation.json"}</w:instrText>
      </w:r>
      <w:r w:rsidR="00433E00" w:rsidRPr="00E9319E">
        <w:rPr>
          <w:sz w:val="22"/>
          <w:szCs w:val="22"/>
        </w:rPr>
        <w:fldChar w:fldCharType="separate"/>
      </w:r>
      <w:r w:rsidR="00433E00" w:rsidRPr="00E9319E">
        <w:rPr>
          <w:noProof/>
          <w:sz w:val="22"/>
          <w:szCs w:val="22"/>
        </w:rPr>
        <w:t>(Poser et al., 2006)</w:t>
      </w:r>
      <w:r w:rsidR="00433E00" w:rsidRPr="00E9319E">
        <w:rPr>
          <w:sz w:val="22"/>
          <w:szCs w:val="22"/>
        </w:rPr>
        <w:fldChar w:fldCharType="end"/>
      </w:r>
      <w:r w:rsidR="00433E00" w:rsidRPr="00E9319E">
        <w:rPr>
          <w:sz w:val="22"/>
          <w:szCs w:val="22"/>
        </w:rPr>
        <w:t xml:space="preserve">. The multi-echo fMRI data were then combined into single volumes using these weightings. All functional images were subsequently slice-time corrected and co-registered with the high-resolution T1-weighted image using normalized mutual information. The high-resolution structural scan was segmented and used to normalize the slice-time corrected functional images. Finally, all functional images were smoothed with an 8mm isotropic </w:t>
      </w:r>
      <w:proofErr w:type="gramStart"/>
      <w:r w:rsidR="00433E00" w:rsidRPr="00E9319E">
        <w:rPr>
          <w:sz w:val="22"/>
          <w:szCs w:val="22"/>
        </w:rPr>
        <w:t>full-width</w:t>
      </w:r>
      <w:proofErr w:type="gramEnd"/>
      <w:r w:rsidR="00433E00" w:rsidRPr="00E9319E">
        <w:rPr>
          <w:sz w:val="22"/>
          <w:szCs w:val="22"/>
        </w:rPr>
        <w:t xml:space="preserve"> at half maximum (FWHM) Gaussian smoothing kernel. </w:t>
      </w:r>
    </w:p>
    <w:p w14:paraId="3AB7CDF0" w14:textId="77777777" w:rsidR="00246C49" w:rsidRPr="000E0806" w:rsidRDefault="00572EE1" w:rsidP="00E9319E">
      <w:pPr>
        <w:spacing w:line="480" w:lineRule="auto"/>
        <w:rPr>
          <w:b/>
          <w:sz w:val="28"/>
          <w:szCs w:val="22"/>
        </w:rPr>
      </w:pPr>
      <w:r>
        <w:rPr>
          <w:b/>
          <w:sz w:val="22"/>
          <w:szCs w:val="22"/>
        </w:rPr>
        <w:br w:type="column"/>
      </w:r>
      <w:r w:rsidR="00C975B0" w:rsidRPr="000E0806">
        <w:rPr>
          <w:b/>
          <w:sz w:val="28"/>
          <w:szCs w:val="22"/>
        </w:rPr>
        <w:lastRenderedPageBreak/>
        <w:t>Supplemental results</w:t>
      </w:r>
    </w:p>
    <w:p w14:paraId="5ADB6128" w14:textId="63AF61BF" w:rsidR="00DD1A81" w:rsidRPr="00DD1A81" w:rsidRDefault="00DD1A81" w:rsidP="00DD1A81">
      <w:pPr>
        <w:spacing w:line="480" w:lineRule="auto"/>
        <w:rPr>
          <w:b/>
          <w:szCs w:val="22"/>
        </w:rPr>
      </w:pPr>
      <w:r w:rsidRPr="00DD1A81">
        <w:rPr>
          <w:b/>
          <w:szCs w:val="22"/>
        </w:rPr>
        <w:t>Sensitivity analyses</w:t>
      </w:r>
    </w:p>
    <w:p w14:paraId="12967C49" w14:textId="77777777" w:rsidR="00DC1198" w:rsidRDefault="00C30C3E" w:rsidP="00DD1A81">
      <w:pPr>
        <w:spacing w:line="480" w:lineRule="auto"/>
        <w:rPr>
          <w:bCs/>
          <w:sz w:val="22"/>
          <w:szCs w:val="21"/>
        </w:rPr>
      </w:pPr>
      <w:r>
        <w:rPr>
          <w:bCs/>
          <w:sz w:val="22"/>
          <w:szCs w:val="21"/>
        </w:rPr>
        <w:t>To test the robustness of our results, w</w:t>
      </w:r>
      <w:r w:rsidR="00DD1A81">
        <w:rPr>
          <w:bCs/>
          <w:sz w:val="22"/>
          <w:szCs w:val="21"/>
        </w:rPr>
        <w:t xml:space="preserve">e conducted several </w:t>
      </w:r>
      <w:r>
        <w:rPr>
          <w:bCs/>
          <w:sz w:val="22"/>
          <w:szCs w:val="21"/>
        </w:rPr>
        <w:t xml:space="preserve">sensitivity </w:t>
      </w:r>
      <w:r w:rsidR="00DD1A81">
        <w:rPr>
          <w:bCs/>
          <w:sz w:val="22"/>
          <w:szCs w:val="21"/>
        </w:rPr>
        <w:t>analyses</w:t>
      </w:r>
      <w:r>
        <w:rPr>
          <w:bCs/>
          <w:sz w:val="22"/>
          <w:szCs w:val="21"/>
        </w:rPr>
        <w:t xml:space="preserve"> (see also </w:t>
      </w:r>
      <w:r w:rsidR="000036FE">
        <w:rPr>
          <w:bCs/>
          <w:sz w:val="22"/>
          <w:szCs w:val="21"/>
        </w:rPr>
        <w:t>Figure S5</w:t>
      </w:r>
      <w:r>
        <w:rPr>
          <w:bCs/>
          <w:sz w:val="22"/>
          <w:szCs w:val="21"/>
        </w:rPr>
        <w:t>)</w:t>
      </w:r>
      <w:r w:rsidR="00DD1A81">
        <w:rPr>
          <w:bCs/>
          <w:sz w:val="22"/>
          <w:szCs w:val="21"/>
        </w:rPr>
        <w:t xml:space="preserve">. </w:t>
      </w:r>
      <w:r w:rsidR="005E5854">
        <w:rPr>
          <w:bCs/>
          <w:sz w:val="22"/>
          <w:szCs w:val="21"/>
        </w:rPr>
        <w:t xml:space="preserve">First, we looked at the </w:t>
      </w:r>
      <w:r w:rsidR="00DD1A81" w:rsidRPr="00DD1A81">
        <w:rPr>
          <w:bCs/>
          <w:sz w:val="22"/>
          <w:szCs w:val="21"/>
        </w:rPr>
        <w:t>effect of reward (big&gt;small) only during neutral cues</w:t>
      </w:r>
      <w:r w:rsidR="000036FE">
        <w:rPr>
          <w:bCs/>
          <w:sz w:val="22"/>
          <w:szCs w:val="21"/>
        </w:rPr>
        <w:t xml:space="preserve">. </w:t>
      </w:r>
      <w:r w:rsidR="00DD1A81" w:rsidRPr="00DD1A81">
        <w:rPr>
          <w:bCs/>
          <w:sz w:val="22"/>
          <w:szCs w:val="21"/>
        </w:rPr>
        <w:t xml:space="preserve">Results </w:t>
      </w:r>
      <w:r w:rsidR="000036FE">
        <w:rPr>
          <w:bCs/>
          <w:sz w:val="22"/>
          <w:szCs w:val="21"/>
        </w:rPr>
        <w:t xml:space="preserve">from Study 1 (AUD vs HC) were </w:t>
      </w:r>
      <w:proofErr w:type="gramStart"/>
      <w:r w:rsidR="00DD1A81" w:rsidRPr="00DD1A81">
        <w:rPr>
          <w:bCs/>
          <w:sz w:val="22"/>
          <w:szCs w:val="21"/>
        </w:rPr>
        <w:t>similar to</w:t>
      </w:r>
      <w:proofErr w:type="gramEnd"/>
      <w:r w:rsidR="00DD1A81" w:rsidRPr="00DD1A81">
        <w:rPr>
          <w:bCs/>
          <w:sz w:val="22"/>
          <w:szCs w:val="21"/>
        </w:rPr>
        <w:t xml:space="preserve"> the main effects reported in the manuscript (Fig 2), with blunted striatal activity in AUDs vs HCs </w:t>
      </w:r>
      <w:r>
        <w:rPr>
          <w:bCs/>
          <w:sz w:val="22"/>
          <w:szCs w:val="21"/>
        </w:rPr>
        <w:t>(</w:t>
      </w:r>
      <w:r w:rsidR="00DD1A81" w:rsidRPr="00DD1A81">
        <w:rPr>
          <w:bCs/>
          <w:sz w:val="22"/>
          <w:szCs w:val="21"/>
        </w:rPr>
        <w:t>surviving whole brain FWE-correction</w:t>
      </w:r>
      <w:r>
        <w:rPr>
          <w:bCs/>
          <w:sz w:val="22"/>
          <w:szCs w:val="21"/>
        </w:rPr>
        <w:t>)</w:t>
      </w:r>
      <w:r w:rsidR="000036FE">
        <w:rPr>
          <w:bCs/>
          <w:sz w:val="22"/>
          <w:szCs w:val="21"/>
        </w:rPr>
        <w:t xml:space="preserve">. </w:t>
      </w:r>
      <w:r w:rsidR="00BE5B0D">
        <w:rPr>
          <w:bCs/>
          <w:sz w:val="22"/>
          <w:szCs w:val="21"/>
        </w:rPr>
        <w:t xml:space="preserve">The results from </w:t>
      </w:r>
      <w:r w:rsidR="000036FE">
        <w:rPr>
          <w:bCs/>
          <w:sz w:val="22"/>
          <w:szCs w:val="21"/>
        </w:rPr>
        <w:t>s</w:t>
      </w:r>
      <w:r w:rsidR="00DD1A81" w:rsidRPr="00DD1A81">
        <w:rPr>
          <w:bCs/>
          <w:sz w:val="22"/>
          <w:szCs w:val="21"/>
        </w:rPr>
        <w:t>tudy 2</w:t>
      </w:r>
      <w:r w:rsidR="00BE5B0D">
        <w:rPr>
          <w:bCs/>
          <w:sz w:val="22"/>
          <w:szCs w:val="21"/>
        </w:rPr>
        <w:t xml:space="preserve"> </w:t>
      </w:r>
      <w:r>
        <w:rPr>
          <w:bCs/>
          <w:sz w:val="22"/>
          <w:szCs w:val="21"/>
        </w:rPr>
        <w:t xml:space="preserve">(GD vs HC) </w:t>
      </w:r>
      <w:r w:rsidR="00BE5B0D">
        <w:rPr>
          <w:bCs/>
          <w:sz w:val="22"/>
          <w:szCs w:val="21"/>
        </w:rPr>
        <w:t xml:space="preserve">also remained the same, although </w:t>
      </w:r>
      <w:r w:rsidR="004D5DC8">
        <w:rPr>
          <w:bCs/>
          <w:sz w:val="22"/>
          <w:szCs w:val="21"/>
        </w:rPr>
        <w:t xml:space="preserve">the blunted striatal activity </w:t>
      </w:r>
      <w:r w:rsidR="00BE5B0D">
        <w:rPr>
          <w:bCs/>
          <w:sz w:val="22"/>
          <w:szCs w:val="21"/>
        </w:rPr>
        <w:t>was only significant at a lower threshold (</w:t>
      </w:r>
      <w:proofErr w:type="spellStart"/>
      <w:r w:rsidR="00BE5B0D">
        <w:rPr>
          <w:bCs/>
          <w:sz w:val="22"/>
          <w:szCs w:val="21"/>
        </w:rPr>
        <w:t>pFWE</w:t>
      </w:r>
      <w:proofErr w:type="spellEnd"/>
      <w:r w:rsidR="00BE5B0D">
        <w:rPr>
          <w:bCs/>
          <w:sz w:val="22"/>
          <w:szCs w:val="21"/>
        </w:rPr>
        <w:t>&lt;0.05 at cluster threshold of p=.01</w:t>
      </w:r>
      <w:proofErr w:type="gramStart"/>
      <w:r w:rsidR="00BE5B0D">
        <w:rPr>
          <w:bCs/>
          <w:sz w:val="22"/>
          <w:szCs w:val="21"/>
        </w:rPr>
        <w:t>)</w:t>
      </w:r>
      <w:r w:rsidR="00263B1A">
        <w:rPr>
          <w:bCs/>
          <w:sz w:val="22"/>
          <w:szCs w:val="21"/>
        </w:rPr>
        <w:t xml:space="preserve">,  </w:t>
      </w:r>
      <w:r w:rsidR="00263B1A" w:rsidRPr="00263B1A">
        <w:rPr>
          <w:bCs/>
          <w:sz w:val="22"/>
          <w:szCs w:val="21"/>
        </w:rPr>
        <w:t>likely</w:t>
      </w:r>
      <w:proofErr w:type="gramEnd"/>
      <w:r w:rsidR="00263B1A" w:rsidRPr="00263B1A">
        <w:rPr>
          <w:bCs/>
          <w:sz w:val="22"/>
          <w:szCs w:val="21"/>
        </w:rPr>
        <w:t xml:space="preserve"> due to the fact that </w:t>
      </w:r>
      <w:r w:rsidR="004D5DC8">
        <w:rPr>
          <w:bCs/>
          <w:sz w:val="22"/>
          <w:szCs w:val="21"/>
        </w:rPr>
        <w:t>this analysis con</w:t>
      </w:r>
      <w:r w:rsidR="00DC1198">
        <w:rPr>
          <w:bCs/>
          <w:sz w:val="22"/>
          <w:szCs w:val="21"/>
        </w:rPr>
        <w:t xml:space="preserve">siders </w:t>
      </w:r>
      <w:r w:rsidR="00263B1A" w:rsidRPr="00263B1A">
        <w:rPr>
          <w:bCs/>
          <w:sz w:val="22"/>
          <w:szCs w:val="21"/>
        </w:rPr>
        <w:t>halve the number of trials, resulting in lower power.</w:t>
      </w:r>
      <w:r w:rsidR="00263B1A">
        <w:rPr>
          <w:bCs/>
          <w:sz w:val="22"/>
          <w:szCs w:val="21"/>
        </w:rPr>
        <w:t xml:space="preserve"> </w:t>
      </w:r>
    </w:p>
    <w:p w14:paraId="7A58D4C4" w14:textId="77777777" w:rsidR="0025253F" w:rsidRDefault="00DC1198" w:rsidP="00DC1198">
      <w:pPr>
        <w:spacing w:line="480" w:lineRule="auto"/>
        <w:ind w:firstLine="720"/>
        <w:rPr>
          <w:bCs/>
          <w:sz w:val="22"/>
          <w:szCs w:val="21"/>
        </w:rPr>
      </w:pPr>
      <w:r>
        <w:rPr>
          <w:bCs/>
          <w:sz w:val="22"/>
          <w:szCs w:val="21"/>
        </w:rPr>
        <w:t xml:space="preserve">In Study 1, </w:t>
      </w:r>
      <w:r w:rsidR="00515B6C">
        <w:rPr>
          <w:bCs/>
          <w:sz w:val="22"/>
          <w:szCs w:val="21"/>
        </w:rPr>
        <w:t xml:space="preserve">there were significantly more smokers in the AUD group. </w:t>
      </w:r>
      <w:r w:rsidR="0025253F" w:rsidRPr="0025253F">
        <w:rPr>
          <w:bCs/>
          <w:sz w:val="22"/>
          <w:szCs w:val="21"/>
        </w:rPr>
        <w:t>To test the additional effect of smoking status in the AUD patients, we compared the smoking (n=30) to the non-smoking (n=16) AUD patients. This analysis did not show any difference in striatal (nor whole brain) activation patters, not even at very liberal (p&lt;.01 uncorrected) threshold.</w:t>
      </w:r>
      <w:r w:rsidR="0025253F">
        <w:rPr>
          <w:bCs/>
          <w:sz w:val="22"/>
          <w:szCs w:val="21"/>
        </w:rPr>
        <w:t xml:space="preserve"> </w:t>
      </w:r>
    </w:p>
    <w:p w14:paraId="74A688D5" w14:textId="1182CF80" w:rsidR="00DD1A81" w:rsidRDefault="0025253F" w:rsidP="00DC1198">
      <w:pPr>
        <w:spacing w:line="480" w:lineRule="auto"/>
        <w:ind w:firstLine="720"/>
        <w:rPr>
          <w:bCs/>
          <w:sz w:val="22"/>
          <w:szCs w:val="21"/>
        </w:rPr>
      </w:pPr>
      <w:r>
        <w:rPr>
          <w:bCs/>
          <w:sz w:val="22"/>
          <w:szCs w:val="21"/>
        </w:rPr>
        <w:t>Moreover, b</w:t>
      </w:r>
      <w:r w:rsidR="00263B1A">
        <w:rPr>
          <w:bCs/>
          <w:sz w:val="22"/>
          <w:szCs w:val="21"/>
        </w:rPr>
        <w:t>ecause IQ was significantly lower in the GD versus HC group</w:t>
      </w:r>
      <w:r w:rsidR="00235DC1" w:rsidRPr="00235DC1">
        <w:rPr>
          <w:bCs/>
          <w:sz w:val="22"/>
          <w:szCs w:val="21"/>
        </w:rPr>
        <w:t xml:space="preserve"> </w:t>
      </w:r>
      <w:r w:rsidR="00235DC1">
        <w:rPr>
          <w:bCs/>
          <w:sz w:val="22"/>
          <w:szCs w:val="21"/>
        </w:rPr>
        <w:t>in Study 2</w:t>
      </w:r>
      <w:r w:rsidR="00263B1A">
        <w:rPr>
          <w:bCs/>
          <w:sz w:val="22"/>
          <w:szCs w:val="21"/>
        </w:rPr>
        <w:t xml:space="preserve">, we ran an additional analysis correcting for IQ by adding this as a covariate. </w:t>
      </w:r>
      <w:r w:rsidR="00DD1A81" w:rsidRPr="00DD1A81">
        <w:rPr>
          <w:bCs/>
          <w:sz w:val="22"/>
          <w:szCs w:val="21"/>
        </w:rPr>
        <w:t xml:space="preserve">Although </w:t>
      </w:r>
      <w:r w:rsidR="00263B1A">
        <w:rPr>
          <w:bCs/>
          <w:sz w:val="22"/>
          <w:szCs w:val="21"/>
        </w:rPr>
        <w:t xml:space="preserve">the results remained </w:t>
      </w:r>
      <w:r w:rsidR="00DD1A81" w:rsidRPr="00DD1A81">
        <w:rPr>
          <w:bCs/>
          <w:sz w:val="22"/>
          <w:szCs w:val="21"/>
        </w:rPr>
        <w:t>qualitatively similar</w:t>
      </w:r>
      <w:r w:rsidR="00263B1A">
        <w:rPr>
          <w:bCs/>
          <w:sz w:val="22"/>
          <w:szCs w:val="21"/>
        </w:rPr>
        <w:t xml:space="preserve"> at lower thresholds</w:t>
      </w:r>
      <w:r w:rsidR="00DD1A81" w:rsidRPr="00DD1A81">
        <w:rPr>
          <w:bCs/>
          <w:sz w:val="22"/>
          <w:szCs w:val="21"/>
        </w:rPr>
        <w:t>, the blunted activity in GD patients was no longer significant</w:t>
      </w:r>
      <w:r w:rsidR="00263B1A">
        <w:rPr>
          <w:bCs/>
          <w:sz w:val="22"/>
          <w:szCs w:val="21"/>
        </w:rPr>
        <w:t xml:space="preserve"> </w:t>
      </w:r>
      <w:r w:rsidR="00254193">
        <w:rPr>
          <w:bCs/>
          <w:sz w:val="22"/>
          <w:szCs w:val="21"/>
        </w:rPr>
        <w:t xml:space="preserve">at </w:t>
      </w:r>
      <w:r w:rsidR="00263B1A">
        <w:rPr>
          <w:bCs/>
          <w:sz w:val="22"/>
          <w:szCs w:val="21"/>
        </w:rPr>
        <w:t>whole-brain FWE</w:t>
      </w:r>
      <w:r w:rsidR="00254193">
        <w:rPr>
          <w:bCs/>
          <w:sz w:val="22"/>
          <w:szCs w:val="21"/>
        </w:rPr>
        <w:t>-</w:t>
      </w:r>
      <w:r w:rsidR="00263B1A">
        <w:rPr>
          <w:bCs/>
          <w:sz w:val="22"/>
          <w:szCs w:val="21"/>
        </w:rPr>
        <w:t>correct</w:t>
      </w:r>
      <w:r w:rsidR="00254193">
        <w:rPr>
          <w:bCs/>
          <w:sz w:val="22"/>
          <w:szCs w:val="21"/>
        </w:rPr>
        <w:t>ed level</w:t>
      </w:r>
      <w:r w:rsidR="00263B1A">
        <w:rPr>
          <w:bCs/>
          <w:sz w:val="22"/>
          <w:szCs w:val="21"/>
        </w:rPr>
        <w:t xml:space="preserve">. </w:t>
      </w:r>
    </w:p>
    <w:p w14:paraId="368F7FA2" w14:textId="77777777" w:rsidR="00DC1198" w:rsidRPr="00DD1A81" w:rsidRDefault="00DC1198" w:rsidP="00DC1198">
      <w:pPr>
        <w:spacing w:line="480" w:lineRule="auto"/>
        <w:ind w:firstLine="720"/>
        <w:rPr>
          <w:bCs/>
          <w:sz w:val="22"/>
          <w:szCs w:val="21"/>
        </w:rPr>
      </w:pPr>
    </w:p>
    <w:p w14:paraId="4B94D5A5" w14:textId="22E6A5A6" w:rsidR="001820C8" w:rsidRDefault="001820C8" w:rsidP="00636FBF">
      <w:pPr>
        <w:spacing w:line="480" w:lineRule="auto"/>
        <w:rPr>
          <w:b/>
          <w:szCs w:val="22"/>
        </w:rPr>
      </w:pPr>
    </w:p>
    <w:p w14:paraId="056DA83A" w14:textId="77777777" w:rsidR="00DD1A81" w:rsidRDefault="00DD1A81" w:rsidP="00636FBF">
      <w:pPr>
        <w:spacing w:line="480" w:lineRule="auto"/>
        <w:rPr>
          <w:b/>
          <w:szCs w:val="22"/>
        </w:rPr>
      </w:pPr>
    </w:p>
    <w:p w14:paraId="6BC1FFB5" w14:textId="42118B15" w:rsidR="00636FBF" w:rsidRPr="001820C8" w:rsidRDefault="001820C8" w:rsidP="00636FBF">
      <w:pPr>
        <w:spacing w:line="480" w:lineRule="auto"/>
        <w:rPr>
          <w:b/>
          <w:szCs w:val="22"/>
        </w:rPr>
      </w:pPr>
      <w:r>
        <w:rPr>
          <w:b/>
          <w:bCs/>
          <w:sz w:val="22"/>
          <w:szCs w:val="22"/>
        </w:rPr>
        <w:br w:type="column"/>
      </w:r>
      <w:r w:rsidR="00636FBF" w:rsidRPr="00E9319E">
        <w:rPr>
          <w:b/>
          <w:bCs/>
          <w:sz w:val="22"/>
          <w:szCs w:val="22"/>
        </w:rPr>
        <w:lastRenderedPageBreak/>
        <w:t xml:space="preserve">Sup Table </w:t>
      </w:r>
      <w:r w:rsidR="00257076">
        <w:rPr>
          <w:b/>
          <w:bCs/>
          <w:sz w:val="22"/>
          <w:szCs w:val="22"/>
        </w:rPr>
        <w:t>3</w:t>
      </w:r>
      <w:r w:rsidR="00636FBF" w:rsidRPr="00E9319E">
        <w:rPr>
          <w:b/>
          <w:bCs/>
          <w:sz w:val="22"/>
          <w:szCs w:val="22"/>
        </w:rPr>
        <w:t xml:space="preserve">: </w:t>
      </w:r>
      <w:r w:rsidR="00636FBF" w:rsidRPr="00E9319E">
        <w:rPr>
          <w:b/>
          <w:sz w:val="22"/>
          <w:szCs w:val="22"/>
        </w:rPr>
        <w:t>Correlation between striatal hyperactivity (</w:t>
      </w:r>
      <w:r w:rsidR="008D139D" w:rsidRPr="008D139D">
        <w:rPr>
          <w:b/>
          <w:sz w:val="22"/>
          <w:szCs w:val="22"/>
        </w:rPr>
        <w:t>related to addiction cues</w:t>
      </w:r>
      <w:r w:rsidR="00636FBF" w:rsidRPr="00E9319E">
        <w:rPr>
          <w:b/>
          <w:sz w:val="22"/>
          <w:szCs w:val="22"/>
        </w:rPr>
        <w:t>) and hypoactivity (</w:t>
      </w:r>
      <w:r w:rsidR="008D139D" w:rsidRPr="008D139D">
        <w:rPr>
          <w:b/>
          <w:sz w:val="22"/>
          <w:szCs w:val="22"/>
        </w:rPr>
        <w:t>related to monetary reward anticipation</w:t>
      </w:r>
      <w:r w:rsidR="00636FBF" w:rsidRPr="00E9319E">
        <w:rPr>
          <w:b/>
          <w:sz w:val="22"/>
          <w:szCs w:val="22"/>
        </w:rPr>
        <w:t xml:space="preserve">) in AUD individuals. </w:t>
      </w:r>
      <w:r w:rsidR="00636FBF" w:rsidRPr="00E9319E">
        <w:rPr>
          <w:bCs/>
          <w:sz w:val="22"/>
          <w:szCs w:val="22"/>
        </w:rPr>
        <w:t>BF₀₁ reflect Bay</w:t>
      </w:r>
      <w:r w:rsidR="00636FBF">
        <w:rPr>
          <w:bCs/>
          <w:sz w:val="22"/>
          <w:szCs w:val="22"/>
        </w:rPr>
        <w:t>es Factors in favor of the null</w:t>
      </w:r>
      <w:r w:rsidR="00636FBF">
        <w:rPr>
          <w:sz w:val="22"/>
          <w:szCs w:val="22"/>
        </w:rPr>
        <w:t xml:space="preserve">, reflecting how much </w:t>
      </w:r>
      <w:r w:rsidR="00636FBF" w:rsidRPr="00E52C2A">
        <w:rPr>
          <w:sz w:val="22"/>
          <w:szCs w:val="22"/>
        </w:rPr>
        <w:t xml:space="preserve">more likely </w:t>
      </w:r>
      <w:r w:rsidR="00636FBF">
        <w:rPr>
          <w:sz w:val="22"/>
          <w:szCs w:val="22"/>
        </w:rPr>
        <w:t xml:space="preserve">these data are to </w:t>
      </w:r>
      <w:r w:rsidR="00636FBF" w:rsidRPr="00E52C2A">
        <w:rPr>
          <w:sz w:val="22"/>
          <w:szCs w:val="22"/>
        </w:rPr>
        <w:t>be observed under the hypothesis</w:t>
      </w:r>
      <w:r w:rsidR="00636FBF">
        <w:rPr>
          <w:sz w:val="22"/>
          <w:szCs w:val="22"/>
        </w:rPr>
        <w:t xml:space="preserve"> that there is no relationship between </w:t>
      </w:r>
      <w:r w:rsidR="00636FBF" w:rsidRPr="00E9319E">
        <w:rPr>
          <w:sz w:val="22"/>
          <w:szCs w:val="22"/>
        </w:rPr>
        <w:t>striatal hyperactivity and hypoactivity</w:t>
      </w:r>
      <w:r w:rsidR="00636FBF" w:rsidRPr="00E52C2A">
        <w:rPr>
          <w:sz w:val="22"/>
          <w:szCs w:val="22"/>
        </w:rPr>
        <w:t>.</w:t>
      </w:r>
      <w:r w:rsidR="008D139D">
        <w:rPr>
          <w:sz w:val="22"/>
          <w:szCs w:val="22"/>
        </w:rPr>
        <w:t xml:space="preserve"> VS=</w:t>
      </w:r>
      <w:r w:rsidR="008D139D" w:rsidRPr="008D139D">
        <w:rPr>
          <w:sz w:val="22"/>
          <w:szCs w:val="22"/>
        </w:rPr>
        <w:t xml:space="preserve"> </w:t>
      </w:r>
      <w:r w:rsidR="007E50CE">
        <w:rPr>
          <w:sz w:val="22"/>
          <w:szCs w:val="22"/>
        </w:rPr>
        <w:t>v</w:t>
      </w:r>
      <w:r w:rsidR="008D139D" w:rsidRPr="00E9319E">
        <w:rPr>
          <w:sz w:val="22"/>
          <w:szCs w:val="22"/>
        </w:rPr>
        <w:t>entral striatum</w:t>
      </w:r>
      <w:r w:rsidR="007C18A9">
        <w:rPr>
          <w:sz w:val="22"/>
          <w:szCs w:val="22"/>
        </w:rPr>
        <w:t xml:space="preserve">, </w:t>
      </w:r>
      <w:proofErr w:type="spellStart"/>
      <w:r w:rsidR="007C18A9">
        <w:rPr>
          <w:sz w:val="22"/>
          <w:szCs w:val="22"/>
        </w:rPr>
        <w:t>Alc</w:t>
      </w:r>
      <w:proofErr w:type="spellEnd"/>
      <w:r w:rsidR="007C18A9">
        <w:rPr>
          <w:sz w:val="22"/>
          <w:szCs w:val="22"/>
        </w:rPr>
        <w:t>=alcohol cues, neu=neutral cues, big=big reward (50 cents), small=small rewards (1 cent).</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750"/>
        <w:gridCol w:w="696"/>
        <w:gridCol w:w="686"/>
        <w:gridCol w:w="850"/>
        <w:gridCol w:w="908"/>
        <w:gridCol w:w="682"/>
        <w:gridCol w:w="961"/>
        <w:gridCol w:w="908"/>
        <w:gridCol w:w="682"/>
      </w:tblGrid>
      <w:tr w:rsidR="00562982" w:rsidRPr="000F4484" w14:paraId="4BE6D3C7" w14:textId="77777777" w:rsidTr="000F4484">
        <w:tc>
          <w:tcPr>
            <w:tcW w:w="2223" w:type="dxa"/>
            <w:tcBorders>
              <w:top w:val="single" w:sz="4" w:space="0" w:color="000000"/>
              <w:left w:val="single" w:sz="4" w:space="0" w:color="000000"/>
              <w:bottom w:val="nil"/>
              <w:right w:val="single" w:sz="4" w:space="0" w:color="000000"/>
            </w:tcBorders>
            <w:shd w:val="clear" w:color="auto" w:fill="auto"/>
          </w:tcPr>
          <w:p w14:paraId="3DEEC669" w14:textId="77777777" w:rsidR="00562982" w:rsidRPr="000F4484" w:rsidRDefault="00562982" w:rsidP="00CC71A0">
            <w:pPr>
              <w:rPr>
                <w:b/>
                <w:i/>
                <w:sz w:val="22"/>
                <w:szCs w:val="22"/>
              </w:rPr>
            </w:pPr>
          </w:p>
        </w:tc>
        <w:tc>
          <w:tcPr>
            <w:tcW w:w="2132" w:type="dxa"/>
            <w:gridSpan w:val="3"/>
            <w:tcBorders>
              <w:top w:val="single" w:sz="4" w:space="0" w:color="000000"/>
              <w:left w:val="single" w:sz="4" w:space="0" w:color="000000"/>
              <w:bottom w:val="nil"/>
              <w:right w:val="single" w:sz="4" w:space="0" w:color="000000"/>
            </w:tcBorders>
            <w:shd w:val="clear" w:color="auto" w:fill="auto"/>
            <w:vAlign w:val="center"/>
          </w:tcPr>
          <w:p w14:paraId="33E5CDB8" w14:textId="77777777" w:rsidR="00562982" w:rsidRPr="000F4484" w:rsidRDefault="00562982" w:rsidP="00CC71A0">
            <w:pPr>
              <w:rPr>
                <w:b/>
                <w:bCs/>
                <w:i/>
                <w:sz w:val="22"/>
                <w:szCs w:val="22"/>
              </w:rPr>
            </w:pPr>
            <w:r w:rsidRPr="000F4484">
              <w:rPr>
                <w:b/>
                <w:bCs/>
                <w:i/>
                <w:sz w:val="22"/>
                <w:szCs w:val="22"/>
              </w:rPr>
              <w:t>VS (</w:t>
            </w:r>
            <w:proofErr w:type="spellStart"/>
            <w:r w:rsidRPr="000F4484">
              <w:rPr>
                <w:b/>
                <w:bCs/>
                <w:i/>
                <w:sz w:val="22"/>
                <w:szCs w:val="22"/>
              </w:rPr>
              <w:t>alc</w:t>
            </w:r>
            <w:proofErr w:type="spellEnd"/>
            <w:r w:rsidRPr="000F4484">
              <w:rPr>
                <w:b/>
                <w:bCs/>
                <w:i/>
                <w:sz w:val="22"/>
                <w:szCs w:val="22"/>
              </w:rPr>
              <w:t>&gt;neu)</w:t>
            </w:r>
          </w:p>
        </w:tc>
        <w:tc>
          <w:tcPr>
            <w:tcW w:w="2440" w:type="dxa"/>
            <w:gridSpan w:val="3"/>
            <w:tcBorders>
              <w:top w:val="single" w:sz="4" w:space="0" w:color="000000"/>
              <w:left w:val="single" w:sz="4" w:space="0" w:color="000000"/>
              <w:bottom w:val="nil"/>
              <w:right w:val="single" w:sz="4" w:space="0" w:color="000000"/>
            </w:tcBorders>
            <w:shd w:val="clear" w:color="auto" w:fill="auto"/>
            <w:vAlign w:val="center"/>
          </w:tcPr>
          <w:p w14:paraId="1E614A7C" w14:textId="77777777" w:rsidR="00562982" w:rsidRPr="000F4484" w:rsidRDefault="00562982" w:rsidP="00CC71A0">
            <w:pPr>
              <w:rPr>
                <w:b/>
                <w:bCs/>
                <w:i/>
                <w:sz w:val="22"/>
                <w:szCs w:val="22"/>
              </w:rPr>
            </w:pPr>
            <w:r w:rsidRPr="000F4484">
              <w:rPr>
                <w:b/>
                <w:bCs/>
                <w:i/>
                <w:sz w:val="22"/>
                <w:szCs w:val="22"/>
              </w:rPr>
              <w:t>Caudate (</w:t>
            </w:r>
            <w:proofErr w:type="spellStart"/>
            <w:r w:rsidRPr="000F4484">
              <w:rPr>
                <w:b/>
                <w:bCs/>
                <w:i/>
                <w:sz w:val="22"/>
                <w:szCs w:val="22"/>
              </w:rPr>
              <w:t>alc</w:t>
            </w:r>
            <w:proofErr w:type="spellEnd"/>
            <w:r w:rsidRPr="000F4484">
              <w:rPr>
                <w:b/>
                <w:bCs/>
                <w:i/>
                <w:sz w:val="22"/>
                <w:szCs w:val="22"/>
              </w:rPr>
              <w:t>&gt;neu)</w:t>
            </w:r>
          </w:p>
        </w:tc>
        <w:tc>
          <w:tcPr>
            <w:tcW w:w="2551" w:type="dxa"/>
            <w:gridSpan w:val="3"/>
            <w:tcBorders>
              <w:top w:val="single" w:sz="4" w:space="0" w:color="000000"/>
              <w:left w:val="single" w:sz="4" w:space="0" w:color="000000"/>
              <w:bottom w:val="nil"/>
              <w:right w:val="single" w:sz="4" w:space="0" w:color="000000"/>
            </w:tcBorders>
            <w:shd w:val="clear" w:color="auto" w:fill="auto"/>
            <w:vAlign w:val="center"/>
          </w:tcPr>
          <w:p w14:paraId="316E78C8" w14:textId="77777777" w:rsidR="00562982" w:rsidRPr="000F4484" w:rsidRDefault="00562982" w:rsidP="00CC71A0">
            <w:pPr>
              <w:rPr>
                <w:b/>
                <w:bCs/>
                <w:i/>
                <w:sz w:val="22"/>
                <w:szCs w:val="22"/>
              </w:rPr>
            </w:pPr>
            <w:r w:rsidRPr="000F4484">
              <w:rPr>
                <w:b/>
                <w:bCs/>
                <w:i/>
                <w:sz w:val="22"/>
                <w:szCs w:val="22"/>
              </w:rPr>
              <w:t>Putamen (</w:t>
            </w:r>
            <w:proofErr w:type="spellStart"/>
            <w:r w:rsidRPr="000F4484">
              <w:rPr>
                <w:b/>
                <w:bCs/>
                <w:i/>
                <w:sz w:val="22"/>
                <w:szCs w:val="22"/>
              </w:rPr>
              <w:t>alc</w:t>
            </w:r>
            <w:proofErr w:type="spellEnd"/>
            <w:r w:rsidRPr="000F4484">
              <w:rPr>
                <w:b/>
                <w:bCs/>
                <w:i/>
                <w:sz w:val="22"/>
                <w:szCs w:val="22"/>
              </w:rPr>
              <w:t>&gt;neu)</w:t>
            </w:r>
          </w:p>
        </w:tc>
      </w:tr>
      <w:tr w:rsidR="00562982" w:rsidRPr="000F4484" w14:paraId="654F3F75" w14:textId="77777777" w:rsidTr="000F4484">
        <w:tc>
          <w:tcPr>
            <w:tcW w:w="2223" w:type="dxa"/>
            <w:tcBorders>
              <w:top w:val="nil"/>
              <w:left w:val="single" w:sz="4" w:space="0" w:color="000000"/>
              <w:bottom w:val="single" w:sz="4" w:space="0" w:color="000000"/>
              <w:right w:val="single" w:sz="4" w:space="0" w:color="000000"/>
            </w:tcBorders>
            <w:shd w:val="clear" w:color="auto" w:fill="auto"/>
          </w:tcPr>
          <w:p w14:paraId="3656B9AB" w14:textId="77777777" w:rsidR="00CC71A0" w:rsidRPr="000F4484" w:rsidRDefault="00CC71A0" w:rsidP="00CC71A0">
            <w:pPr>
              <w:rPr>
                <w:sz w:val="22"/>
                <w:szCs w:val="22"/>
              </w:rPr>
            </w:pPr>
          </w:p>
        </w:tc>
        <w:tc>
          <w:tcPr>
            <w:tcW w:w="750" w:type="dxa"/>
            <w:tcBorders>
              <w:top w:val="nil"/>
              <w:left w:val="single" w:sz="4" w:space="0" w:color="000000"/>
              <w:bottom w:val="single" w:sz="4" w:space="0" w:color="000000"/>
              <w:right w:val="nil"/>
            </w:tcBorders>
            <w:shd w:val="clear" w:color="auto" w:fill="auto"/>
            <w:vAlign w:val="center"/>
          </w:tcPr>
          <w:p w14:paraId="6685D73B" w14:textId="77777777" w:rsidR="00CC71A0" w:rsidRPr="000F4484" w:rsidRDefault="00CC71A0" w:rsidP="00CC71A0">
            <w:pPr>
              <w:rPr>
                <w:sz w:val="22"/>
                <w:szCs w:val="22"/>
              </w:rPr>
            </w:pPr>
            <w:r w:rsidRPr="000F4484">
              <w:rPr>
                <w:bCs/>
                <w:sz w:val="22"/>
                <w:szCs w:val="22"/>
              </w:rPr>
              <w:t xml:space="preserve">r </w:t>
            </w:r>
          </w:p>
        </w:tc>
        <w:tc>
          <w:tcPr>
            <w:tcW w:w="696" w:type="dxa"/>
            <w:tcBorders>
              <w:top w:val="nil"/>
              <w:left w:val="nil"/>
              <w:bottom w:val="single" w:sz="4" w:space="0" w:color="000000"/>
              <w:right w:val="nil"/>
            </w:tcBorders>
            <w:shd w:val="clear" w:color="auto" w:fill="auto"/>
            <w:vAlign w:val="center"/>
          </w:tcPr>
          <w:p w14:paraId="3F447FC6" w14:textId="77777777" w:rsidR="00CC71A0" w:rsidRPr="000F4484" w:rsidRDefault="00CC71A0" w:rsidP="00CC71A0">
            <w:pPr>
              <w:rPr>
                <w:i/>
                <w:sz w:val="22"/>
                <w:szCs w:val="22"/>
              </w:rPr>
            </w:pPr>
            <w:r w:rsidRPr="000F4484">
              <w:rPr>
                <w:bCs/>
                <w:i/>
                <w:sz w:val="22"/>
                <w:szCs w:val="22"/>
              </w:rPr>
              <w:t xml:space="preserve">p </w:t>
            </w:r>
          </w:p>
        </w:tc>
        <w:tc>
          <w:tcPr>
            <w:tcW w:w="686" w:type="dxa"/>
            <w:tcBorders>
              <w:top w:val="nil"/>
              <w:left w:val="nil"/>
              <w:bottom w:val="single" w:sz="4" w:space="0" w:color="000000"/>
              <w:right w:val="single" w:sz="4" w:space="0" w:color="000000"/>
            </w:tcBorders>
            <w:shd w:val="clear" w:color="auto" w:fill="auto"/>
            <w:vAlign w:val="center"/>
          </w:tcPr>
          <w:p w14:paraId="0580C95C" w14:textId="77777777" w:rsidR="00CC71A0" w:rsidRPr="000F4484" w:rsidRDefault="00CC71A0" w:rsidP="00CC71A0">
            <w:pPr>
              <w:rPr>
                <w:bCs/>
                <w:sz w:val="22"/>
                <w:szCs w:val="22"/>
              </w:rPr>
            </w:pPr>
            <w:r w:rsidRPr="000F4484">
              <w:rPr>
                <w:bCs/>
                <w:sz w:val="22"/>
                <w:szCs w:val="22"/>
              </w:rPr>
              <w:t xml:space="preserve">BF₀₁ </w:t>
            </w:r>
          </w:p>
        </w:tc>
        <w:tc>
          <w:tcPr>
            <w:tcW w:w="850" w:type="dxa"/>
            <w:tcBorders>
              <w:top w:val="nil"/>
              <w:left w:val="single" w:sz="4" w:space="0" w:color="000000"/>
              <w:bottom w:val="single" w:sz="4" w:space="0" w:color="000000"/>
              <w:right w:val="nil"/>
            </w:tcBorders>
            <w:shd w:val="clear" w:color="auto" w:fill="auto"/>
            <w:vAlign w:val="center"/>
          </w:tcPr>
          <w:p w14:paraId="35CEB217" w14:textId="77777777" w:rsidR="00CC71A0" w:rsidRPr="000F4484" w:rsidRDefault="00CC71A0" w:rsidP="00CC71A0">
            <w:pPr>
              <w:rPr>
                <w:bCs/>
                <w:sz w:val="22"/>
                <w:szCs w:val="22"/>
              </w:rPr>
            </w:pPr>
            <w:r w:rsidRPr="000F4484">
              <w:rPr>
                <w:bCs/>
                <w:sz w:val="22"/>
                <w:szCs w:val="22"/>
              </w:rPr>
              <w:t xml:space="preserve">r </w:t>
            </w:r>
          </w:p>
        </w:tc>
        <w:tc>
          <w:tcPr>
            <w:tcW w:w="908" w:type="dxa"/>
            <w:tcBorders>
              <w:top w:val="nil"/>
              <w:left w:val="nil"/>
              <w:bottom w:val="single" w:sz="4" w:space="0" w:color="000000"/>
              <w:right w:val="nil"/>
            </w:tcBorders>
            <w:shd w:val="clear" w:color="auto" w:fill="auto"/>
            <w:vAlign w:val="center"/>
          </w:tcPr>
          <w:p w14:paraId="130ED29F" w14:textId="77777777" w:rsidR="00CC71A0" w:rsidRPr="000F4484" w:rsidRDefault="00CC71A0" w:rsidP="00CC71A0">
            <w:pPr>
              <w:rPr>
                <w:bCs/>
                <w:i/>
                <w:sz w:val="22"/>
                <w:szCs w:val="22"/>
              </w:rPr>
            </w:pPr>
            <w:r w:rsidRPr="000F4484">
              <w:rPr>
                <w:bCs/>
                <w:i/>
                <w:sz w:val="22"/>
                <w:szCs w:val="22"/>
              </w:rPr>
              <w:t xml:space="preserve">p </w:t>
            </w:r>
          </w:p>
        </w:tc>
        <w:tc>
          <w:tcPr>
            <w:tcW w:w="682" w:type="dxa"/>
            <w:tcBorders>
              <w:top w:val="nil"/>
              <w:left w:val="nil"/>
              <w:bottom w:val="single" w:sz="4" w:space="0" w:color="000000"/>
              <w:right w:val="single" w:sz="4" w:space="0" w:color="000000"/>
            </w:tcBorders>
            <w:shd w:val="clear" w:color="auto" w:fill="auto"/>
            <w:vAlign w:val="center"/>
          </w:tcPr>
          <w:p w14:paraId="04A4C125" w14:textId="77777777" w:rsidR="00CC71A0" w:rsidRPr="000F4484" w:rsidRDefault="00CC71A0" w:rsidP="00CC71A0">
            <w:pPr>
              <w:rPr>
                <w:bCs/>
                <w:sz w:val="22"/>
                <w:szCs w:val="22"/>
              </w:rPr>
            </w:pPr>
            <w:r w:rsidRPr="000F4484">
              <w:rPr>
                <w:bCs/>
                <w:sz w:val="22"/>
                <w:szCs w:val="22"/>
              </w:rPr>
              <w:t xml:space="preserve">BF₀₁ </w:t>
            </w:r>
          </w:p>
        </w:tc>
        <w:tc>
          <w:tcPr>
            <w:tcW w:w="961" w:type="dxa"/>
            <w:tcBorders>
              <w:top w:val="nil"/>
              <w:left w:val="single" w:sz="4" w:space="0" w:color="000000"/>
              <w:bottom w:val="single" w:sz="4" w:space="0" w:color="000000"/>
              <w:right w:val="nil"/>
            </w:tcBorders>
            <w:shd w:val="clear" w:color="auto" w:fill="auto"/>
            <w:vAlign w:val="center"/>
          </w:tcPr>
          <w:p w14:paraId="093212BE" w14:textId="77777777" w:rsidR="00CC71A0" w:rsidRPr="000F4484" w:rsidRDefault="00CC71A0" w:rsidP="00CC71A0">
            <w:pPr>
              <w:rPr>
                <w:bCs/>
                <w:sz w:val="22"/>
                <w:szCs w:val="22"/>
              </w:rPr>
            </w:pPr>
            <w:r w:rsidRPr="000F4484">
              <w:rPr>
                <w:bCs/>
                <w:sz w:val="22"/>
                <w:szCs w:val="22"/>
              </w:rPr>
              <w:t xml:space="preserve">r </w:t>
            </w:r>
          </w:p>
        </w:tc>
        <w:tc>
          <w:tcPr>
            <w:tcW w:w="908" w:type="dxa"/>
            <w:tcBorders>
              <w:top w:val="nil"/>
              <w:left w:val="nil"/>
              <w:bottom w:val="single" w:sz="4" w:space="0" w:color="000000"/>
              <w:right w:val="nil"/>
            </w:tcBorders>
            <w:shd w:val="clear" w:color="auto" w:fill="auto"/>
            <w:vAlign w:val="center"/>
          </w:tcPr>
          <w:p w14:paraId="053E3415" w14:textId="77777777" w:rsidR="00CC71A0" w:rsidRPr="000F4484" w:rsidRDefault="00CC71A0" w:rsidP="00CC71A0">
            <w:pPr>
              <w:rPr>
                <w:bCs/>
                <w:i/>
                <w:sz w:val="22"/>
                <w:szCs w:val="22"/>
              </w:rPr>
            </w:pPr>
            <w:r w:rsidRPr="000F4484">
              <w:rPr>
                <w:bCs/>
                <w:i/>
                <w:sz w:val="22"/>
                <w:szCs w:val="22"/>
              </w:rPr>
              <w:t xml:space="preserve">p </w:t>
            </w:r>
          </w:p>
        </w:tc>
        <w:tc>
          <w:tcPr>
            <w:tcW w:w="682" w:type="dxa"/>
            <w:tcBorders>
              <w:top w:val="nil"/>
              <w:left w:val="nil"/>
              <w:bottom w:val="single" w:sz="4" w:space="0" w:color="000000"/>
              <w:right w:val="single" w:sz="4" w:space="0" w:color="000000"/>
            </w:tcBorders>
            <w:shd w:val="clear" w:color="auto" w:fill="auto"/>
            <w:vAlign w:val="center"/>
          </w:tcPr>
          <w:p w14:paraId="2F334496" w14:textId="77777777" w:rsidR="00CC71A0" w:rsidRPr="000F4484" w:rsidRDefault="00CC71A0" w:rsidP="00CC71A0">
            <w:pPr>
              <w:rPr>
                <w:bCs/>
                <w:sz w:val="22"/>
                <w:szCs w:val="22"/>
              </w:rPr>
            </w:pPr>
            <w:r w:rsidRPr="000F4484">
              <w:rPr>
                <w:bCs/>
                <w:sz w:val="22"/>
                <w:szCs w:val="22"/>
              </w:rPr>
              <w:t xml:space="preserve">BF₀₁ </w:t>
            </w:r>
          </w:p>
        </w:tc>
      </w:tr>
      <w:tr w:rsidR="00CC71A0" w:rsidRPr="000F4484" w14:paraId="0610BD9F" w14:textId="77777777" w:rsidTr="000F4484">
        <w:tc>
          <w:tcPr>
            <w:tcW w:w="2223" w:type="dxa"/>
            <w:tcBorders>
              <w:top w:val="single" w:sz="4" w:space="0" w:color="000000"/>
              <w:left w:val="single" w:sz="4" w:space="0" w:color="000000"/>
              <w:bottom w:val="nil"/>
              <w:right w:val="single" w:sz="4" w:space="0" w:color="000000"/>
            </w:tcBorders>
            <w:shd w:val="clear" w:color="auto" w:fill="auto"/>
            <w:vAlign w:val="bottom"/>
          </w:tcPr>
          <w:p w14:paraId="45882193" w14:textId="77777777" w:rsidR="00CC71A0" w:rsidRPr="000F4484" w:rsidRDefault="00CC71A0" w:rsidP="00CC71A0">
            <w:pPr>
              <w:rPr>
                <w:b/>
                <w:i/>
                <w:sz w:val="22"/>
                <w:szCs w:val="22"/>
              </w:rPr>
            </w:pPr>
            <w:r w:rsidRPr="000F4484">
              <w:rPr>
                <w:b/>
                <w:i/>
                <w:sz w:val="22"/>
                <w:szCs w:val="22"/>
              </w:rPr>
              <w:t xml:space="preserve">VS </w:t>
            </w:r>
            <w:r w:rsidR="00562982" w:rsidRPr="000F4484">
              <w:rPr>
                <w:b/>
                <w:i/>
                <w:sz w:val="22"/>
                <w:szCs w:val="22"/>
              </w:rPr>
              <w:t>(big&gt;small)</w:t>
            </w:r>
          </w:p>
        </w:tc>
        <w:tc>
          <w:tcPr>
            <w:tcW w:w="750" w:type="dxa"/>
            <w:tcBorders>
              <w:top w:val="single" w:sz="4" w:space="0" w:color="000000"/>
              <w:left w:val="single" w:sz="4" w:space="0" w:color="000000"/>
              <w:bottom w:val="nil"/>
              <w:right w:val="nil"/>
            </w:tcBorders>
            <w:shd w:val="clear" w:color="auto" w:fill="auto"/>
            <w:vAlign w:val="bottom"/>
          </w:tcPr>
          <w:p w14:paraId="6B9453CA" w14:textId="77777777" w:rsidR="00CC71A0" w:rsidRPr="000F4484" w:rsidRDefault="00CC71A0" w:rsidP="00CC71A0">
            <w:pPr>
              <w:rPr>
                <w:sz w:val="22"/>
                <w:szCs w:val="22"/>
              </w:rPr>
            </w:pPr>
            <w:r w:rsidRPr="000F4484">
              <w:rPr>
                <w:sz w:val="22"/>
                <w:szCs w:val="22"/>
              </w:rPr>
              <w:t>-0.2</w:t>
            </w:r>
            <w:r w:rsidR="00562982" w:rsidRPr="000F4484">
              <w:rPr>
                <w:sz w:val="22"/>
                <w:szCs w:val="22"/>
              </w:rPr>
              <w:t>2</w:t>
            </w:r>
            <w:r w:rsidRPr="000F4484">
              <w:rPr>
                <w:sz w:val="22"/>
                <w:szCs w:val="22"/>
              </w:rPr>
              <w:t xml:space="preserve"> </w:t>
            </w:r>
          </w:p>
        </w:tc>
        <w:tc>
          <w:tcPr>
            <w:tcW w:w="696" w:type="dxa"/>
            <w:tcBorders>
              <w:top w:val="single" w:sz="4" w:space="0" w:color="000000"/>
              <w:left w:val="nil"/>
              <w:bottom w:val="nil"/>
              <w:right w:val="nil"/>
            </w:tcBorders>
            <w:shd w:val="clear" w:color="auto" w:fill="auto"/>
            <w:vAlign w:val="bottom"/>
          </w:tcPr>
          <w:p w14:paraId="04BC05F9" w14:textId="77777777" w:rsidR="00CC71A0" w:rsidRPr="000F4484" w:rsidRDefault="00CC71A0" w:rsidP="00CC71A0">
            <w:pPr>
              <w:rPr>
                <w:sz w:val="22"/>
                <w:szCs w:val="22"/>
              </w:rPr>
            </w:pPr>
            <w:r w:rsidRPr="000F4484">
              <w:rPr>
                <w:sz w:val="22"/>
                <w:szCs w:val="22"/>
              </w:rPr>
              <w:t>0.15</w:t>
            </w:r>
          </w:p>
        </w:tc>
        <w:tc>
          <w:tcPr>
            <w:tcW w:w="686" w:type="dxa"/>
            <w:tcBorders>
              <w:top w:val="single" w:sz="4" w:space="0" w:color="000000"/>
              <w:left w:val="nil"/>
              <w:bottom w:val="nil"/>
              <w:right w:val="single" w:sz="4" w:space="0" w:color="000000"/>
            </w:tcBorders>
            <w:shd w:val="clear" w:color="auto" w:fill="auto"/>
            <w:vAlign w:val="bottom"/>
          </w:tcPr>
          <w:p w14:paraId="699E2A8F" w14:textId="77777777" w:rsidR="00CC71A0" w:rsidRPr="000F4484" w:rsidRDefault="00CC71A0" w:rsidP="00CC71A0">
            <w:pPr>
              <w:rPr>
                <w:sz w:val="22"/>
                <w:szCs w:val="22"/>
              </w:rPr>
            </w:pPr>
            <w:r w:rsidRPr="000F4484">
              <w:rPr>
                <w:sz w:val="22"/>
                <w:szCs w:val="22"/>
              </w:rPr>
              <w:t>2.0</w:t>
            </w:r>
          </w:p>
        </w:tc>
        <w:tc>
          <w:tcPr>
            <w:tcW w:w="850" w:type="dxa"/>
            <w:tcBorders>
              <w:top w:val="single" w:sz="4" w:space="0" w:color="000000"/>
              <w:left w:val="single" w:sz="4" w:space="0" w:color="000000"/>
              <w:bottom w:val="nil"/>
              <w:right w:val="nil"/>
            </w:tcBorders>
            <w:shd w:val="clear" w:color="auto" w:fill="auto"/>
            <w:vAlign w:val="bottom"/>
          </w:tcPr>
          <w:p w14:paraId="128EF97A" w14:textId="77777777" w:rsidR="00CC71A0" w:rsidRPr="000F4484" w:rsidRDefault="00CC71A0" w:rsidP="00CC71A0">
            <w:pPr>
              <w:rPr>
                <w:sz w:val="22"/>
                <w:szCs w:val="22"/>
              </w:rPr>
            </w:pPr>
            <w:r w:rsidRPr="000F4484">
              <w:rPr>
                <w:sz w:val="22"/>
                <w:szCs w:val="22"/>
              </w:rPr>
              <w:t xml:space="preserve"> </w:t>
            </w:r>
            <w:r w:rsidR="00C721E2" w:rsidRPr="000F4484">
              <w:rPr>
                <w:sz w:val="22"/>
                <w:szCs w:val="22"/>
              </w:rPr>
              <w:t>-0.08</w:t>
            </w:r>
          </w:p>
        </w:tc>
        <w:tc>
          <w:tcPr>
            <w:tcW w:w="908" w:type="dxa"/>
            <w:tcBorders>
              <w:top w:val="single" w:sz="4" w:space="0" w:color="000000"/>
              <w:left w:val="nil"/>
              <w:bottom w:val="nil"/>
              <w:right w:val="nil"/>
            </w:tcBorders>
            <w:shd w:val="clear" w:color="auto" w:fill="auto"/>
            <w:vAlign w:val="bottom"/>
          </w:tcPr>
          <w:p w14:paraId="337EA188" w14:textId="77777777" w:rsidR="00CC71A0" w:rsidRPr="000F4484" w:rsidRDefault="00CC71A0" w:rsidP="00CC71A0">
            <w:pPr>
              <w:rPr>
                <w:sz w:val="22"/>
                <w:szCs w:val="22"/>
              </w:rPr>
            </w:pPr>
            <w:r w:rsidRPr="000F4484">
              <w:rPr>
                <w:sz w:val="22"/>
                <w:szCs w:val="22"/>
              </w:rPr>
              <w:t>0.</w:t>
            </w:r>
            <w:r w:rsidR="00C721E2" w:rsidRPr="000F4484">
              <w:rPr>
                <w:sz w:val="22"/>
                <w:szCs w:val="22"/>
              </w:rPr>
              <w:t>60</w:t>
            </w:r>
          </w:p>
        </w:tc>
        <w:tc>
          <w:tcPr>
            <w:tcW w:w="682" w:type="dxa"/>
            <w:tcBorders>
              <w:top w:val="single" w:sz="4" w:space="0" w:color="000000"/>
              <w:left w:val="nil"/>
              <w:bottom w:val="nil"/>
              <w:right w:val="single" w:sz="4" w:space="0" w:color="000000"/>
            </w:tcBorders>
            <w:shd w:val="clear" w:color="auto" w:fill="auto"/>
            <w:vAlign w:val="bottom"/>
          </w:tcPr>
          <w:p w14:paraId="3B576BDF" w14:textId="77777777" w:rsidR="00CC71A0" w:rsidRPr="000F4484" w:rsidRDefault="00067B52" w:rsidP="00CC71A0">
            <w:pPr>
              <w:rPr>
                <w:sz w:val="22"/>
                <w:szCs w:val="22"/>
              </w:rPr>
            </w:pPr>
            <w:r w:rsidRPr="000F4484">
              <w:rPr>
                <w:sz w:val="22"/>
                <w:szCs w:val="22"/>
              </w:rPr>
              <w:t>4.8</w:t>
            </w:r>
          </w:p>
        </w:tc>
        <w:tc>
          <w:tcPr>
            <w:tcW w:w="961" w:type="dxa"/>
            <w:tcBorders>
              <w:top w:val="single" w:sz="4" w:space="0" w:color="000000"/>
              <w:left w:val="single" w:sz="4" w:space="0" w:color="000000"/>
              <w:bottom w:val="nil"/>
              <w:right w:val="nil"/>
            </w:tcBorders>
            <w:shd w:val="clear" w:color="auto" w:fill="auto"/>
            <w:vAlign w:val="bottom"/>
          </w:tcPr>
          <w:p w14:paraId="4F1A4786" w14:textId="77777777" w:rsidR="00CC71A0" w:rsidRPr="000F4484" w:rsidRDefault="00CC71A0" w:rsidP="00CC71A0">
            <w:pPr>
              <w:rPr>
                <w:sz w:val="22"/>
                <w:szCs w:val="22"/>
              </w:rPr>
            </w:pPr>
            <w:r w:rsidRPr="000F4484">
              <w:rPr>
                <w:sz w:val="22"/>
                <w:szCs w:val="22"/>
              </w:rPr>
              <w:t>0.</w:t>
            </w:r>
            <w:r w:rsidR="00C721E2" w:rsidRPr="000F4484">
              <w:rPr>
                <w:sz w:val="22"/>
                <w:szCs w:val="22"/>
              </w:rPr>
              <w:t>05</w:t>
            </w:r>
            <w:r w:rsidRPr="000F4484">
              <w:rPr>
                <w:sz w:val="22"/>
                <w:szCs w:val="22"/>
              </w:rPr>
              <w:t xml:space="preserve"> </w:t>
            </w:r>
          </w:p>
        </w:tc>
        <w:tc>
          <w:tcPr>
            <w:tcW w:w="908" w:type="dxa"/>
            <w:tcBorders>
              <w:top w:val="single" w:sz="4" w:space="0" w:color="000000"/>
              <w:left w:val="nil"/>
              <w:bottom w:val="nil"/>
              <w:right w:val="nil"/>
            </w:tcBorders>
            <w:shd w:val="clear" w:color="auto" w:fill="auto"/>
            <w:vAlign w:val="bottom"/>
          </w:tcPr>
          <w:p w14:paraId="5C7F4245" w14:textId="77777777" w:rsidR="00CC71A0" w:rsidRPr="000F4484" w:rsidRDefault="00CC71A0" w:rsidP="00CC71A0">
            <w:pPr>
              <w:rPr>
                <w:sz w:val="22"/>
                <w:szCs w:val="22"/>
              </w:rPr>
            </w:pPr>
            <w:r w:rsidRPr="000F4484">
              <w:rPr>
                <w:sz w:val="22"/>
                <w:szCs w:val="22"/>
              </w:rPr>
              <w:t>0.</w:t>
            </w:r>
            <w:r w:rsidR="00C721E2" w:rsidRPr="000F4484">
              <w:rPr>
                <w:sz w:val="22"/>
                <w:szCs w:val="22"/>
              </w:rPr>
              <w:t>76</w:t>
            </w:r>
          </w:p>
        </w:tc>
        <w:tc>
          <w:tcPr>
            <w:tcW w:w="682" w:type="dxa"/>
            <w:tcBorders>
              <w:top w:val="single" w:sz="4" w:space="0" w:color="000000"/>
              <w:left w:val="nil"/>
              <w:bottom w:val="nil"/>
              <w:right w:val="single" w:sz="4" w:space="0" w:color="000000"/>
            </w:tcBorders>
            <w:shd w:val="clear" w:color="auto" w:fill="auto"/>
            <w:vAlign w:val="bottom"/>
          </w:tcPr>
          <w:p w14:paraId="48DA2E20" w14:textId="77777777" w:rsidR="00CC71A0" w:rsidRPr="000F4484" w:rsidRDefault="00067B52" w:rsidP="00CC71A0">
            <w:pPr>
              <w:rPr>
                <w:sz w:val="22"/>
                <w:szCs w:val="22"/>
              </w:rPr>
            </w:pPr>
            <w:r w:rsidRPr="000F4484">
              <w:rPr>
                <w:sz w:val="22"/>
                <w:szCs w:val="22"/>
              </w:rPr>
              <w:t>5.2</w:t>
            </w:r>
          </w:p>
        </w:tc>
      </w:tr>
      <w:tr w:rsidR="00562982" w:rsidRPr="000F4484" w14:paraId="3C22AC5A" w14:textId="77777777" w:rsidTr="000F4484">
        <w:tc>
          <w:tcPr>
            <w:tcW w:w="2223" w:type="dxa"/>
            <w:tcBorders>
              <w:top w:val="nil"/>
              <w:left w:val="single" w:sz="4" w:space="0" w:color="000000"/>
              <w:bottom w:val="nil"/>
              <w:right w:val="single" w:sz="4" w:space="0" w:color="000000"/>
            </w:tcBorders>
            <w:shd w:val="clear" w:color="auto" w:fill="auto"/>
            <w:vAlign w:val="bottom"/>
          </w:tcPr>
          <w:p w14:paraId="6D42F7C8" w14:textId="77777777" w:rsidR="00CC71A0" w:rsidRPr="000F4484" w:rsidRDefault="00CC71A0" w:rsidP="00CC71A0">
            <w:pPr>
              <w:rPr>
                <w:b/>
                <w:i/>
                <w:sz w:val="22"/>
                <w:szCs w:val="22"/>
              </w:rPr>
            </w:pPr>
            <w:r w:rsidRPr="000F4484">
              <w:rPr>
                <w:b/>
                <w:i/>
                <w:sz w:val="22"/>
                <w:szCs w:val="22"/>
              </w:rPr>
              <w:t>Caudate</w:t>
            </w:r>
            <w:r w:rsidR="00562982" w:rsidRPr="000F4484">
              <w:rPr>
                <w:b/>
                <w:i/>
                <w:sz w:val="22"/>
                <w:szCs w:val="22"/>
              </w:rPr>
              <w:t xml:space="preserve"> (big&gt;small)</w:t>
            </w:r>
          </w:p>
        </w:tc>
        <w:tc>
          <w:tcPr>
            <w:tcW w:w="750" w:type="dxa"/>
            <w:tcBorders>
              <w:top w:val="nil"/>
              <w:left w:val="single" w:sz="4" w:space="0" w:color="000000"/>
              <w:bottom w:val="nil"/>
              <w:right w:val="nil"/>
            </w:tcBorders>
            <w:shd w:val="clear" w:color="auto" w:fill="auto"/>
            <w:vAlign w:val="bottom"/>
          </w:tcPr>
          <w:p w14:paraId="7732A4DC" w14:textId="77777777" w:rsidR="00CC71A0" w:rsidRPr="000F4484" w:rsidRDefault="00CC71A0" w:rsidP="00CC71A0">
            <w:pPr>
              <w:rPr>
                <w:sz w:val="22"/>
                <w:szCs w:val="22"/>
              </w:rPr>
            </w:pPr>
            <w:r w:rsidRPr="000F4484">
              <w:rPr>
                <w:sz w:val="22"/>
                <w:szCs w:val="22"/>
              </w:rPr>
              <w:t>-0.2</w:t>
            </w:r>
            <w:r w:rsidR="00562982" w:rsidRPr="000F4484">
              <w:rPr>
                <w:sz w:val="22"/>
                <w:szCs w:val="22"/>
              </w:rPr>
              <w:t>4</w:t>
            </w:r>
            <w:r w:rsidRPr="000F4484">
              <w:rPr>
                <w:sz w:val="22"/>
                <w:szCs w:val="22"/>
              </w:rPr>
              <w:t xml:space="preserve"> </w:t>
            </w:r>
          </w:p>
        </w:tc>
        <w:tc>
          <w:tcPr>
            <w:tcW w:w="696" w:type="dxa"/>
            <w:tcBorders>
              <w:top w:val="nil"/>
              <w:left w:val="nil"/>
              <w:bottom w:val="nil"/>
              <w:right w:val="nil"/>
            </w:tcBorders>
            <w:shd w:val="clear" w:color="auto" w:fill="auto"/>
            <w:vAlign w:val="bottom"/>
          </w:tcPr>
          <w:p w14:paraId="7587F8AC" w14:textId="77777777" w:rsidR="00CC71A0" w:rsidRPr="000F4484" w:rsidRDefault="00CC71A0" w:rsidP="00CC71A0">
            <w:pPr>
              <w:rPr>
                <w:sz w:val="22"/>
                <w:szCs w:val="22"/>
              </w:rPr>
            </w:pPr>
            <w:r w:rsidRPr="000F4484">
              <w:rPr>
                <w:sz w:val="22"/>
                <w:szCs w:val="22"/>
              </w:rPr>
              <w:t>0.1</w:t>
            </w:r>
            <w:r w:rsidR="00C721E2" w:rsidRPr="000F4484">
              <w:rPr>
                <w:sz w:val="22"/>
                <w:szCs w:val="22"/>
              </w:rPr>
              <w:t>2</w:t>
            </w:r>
          </w:p>
        </w:tc>
        <w:tc>
          <w:tcPr>
            <w:tcW w:w="686" w:type="dxa"/>
            <w:tcBorders>
              <w:top w:val="nil"/>
              <w:left w:val="nil"/>
              <w:bottom w:val="nil"/>
              <w:right w:val="single" w:sz="4" w:space="0" w:color="000000"/>
            </w:tcBorders>
            <w:shd w:val="clear" w:color="auto" w:fill="auto"/>
            <w:vAlign w:val="bottom"/>
          </w:tcPr>
          <w:p w14:paraId="58BDF8A7" w14:textId="77777777" w:rsidR="00CC71A0" w:rsidRPr="000F4484" w:rsidRDefault="00067B52" w:rsidP="00CC71A0">
            <w:pPr>
              <w:rPr>
                <w:sz w:val="22"/>
                <w:szCs w:val="22"/>
              </w:rPr>
            </w:pPr>
            <w:r w:rsidRPr="000F4484">
              <w:rPr>
                <w:sz w:val="22"/>
                <w:szCs w:val="22"/>
              </w:rPr>
              <w:t>1.7</w:t>
            </w:r>
          </w:p>
        </w:tc>
        <w:tc>
          <w:tcPr>
            <w:tcW w:w="850" w:type="dxa"/>
            <w:tcBorders>
              <w:top w:val="nil"/>
              <w:left w:val="single" w:sz="4" w:space="0" w:color="000000"/>
              <w:bottom w:val="nil"/>
              <w:right w:val="nil"/>
            </w:tcBorders>
            <w:shd w:val="clear" w:color="auto" w:fill="auto"/>
            <w:vAlign w:val="bottom"/>
          </w:tcPr>
          <w:p w14:paraId="458D9D79" w14:textId="77777777" w:rsidR="00CC71A0" w:rsidRPr="000F4484" w:rsidRDefault="00CC71A0" w:rsidP="00CC71A0">
            <w:pPr>
              <w:rPr>
                <w:sz w:val="22"/>
                <w:szCs w:val="22"/>
              </w:rPr>
            </w:pPr>
            <w:r w:rsidRPr="000F4484">
              <w:rPr>
                <w:sz w:val="22"/>
                <w:szCs w:val="22"/>
              </w:rPr>
              <w:t xml:space="preserve"> </w:t>
            </w:r>
            <w:r w:rsidR="00C721E2" w:rsidRPr="000F4484">
              <w:rPr>
                <w:sz w:val="22"/>
                <w:szCs w:val="22"/>
              </w:rPr>
              <w:t>-0</w:t>
            </w:r>
            <w:r w:rsidR="00325867" w:rsidRPr="000F4484">
              <w:rPr>
                <w:sz w:val="22"/>
                <w:szCs w:val="22"/>
              </w:rPr>
              <w:t>.</w:t>
            </w:r>
            <w:r w:rsidR="00C721E2" w:rsidRPr="000F4484">
              <w:rPr>
                <w:sz w:val="22"/>
                <w:szCs w:val="22"/>
              </w:rPr>
              <w:t>22</w:t>
            </w:r>
          </w:p>
        </w:tc>
        <w:tc>
          <w:tcPr>
            <w:tcW w:w="908" w:type="dxa"/>
            <w:tcBorders>
              <w:top w:val="nil"/>
              <w:left w:val="nil"/>
              <w:bottom w:val="nil"/>
              <w:right w:val="nil"/>
            </w:tcBorders>
            <w:shd w:val="clear" w:color="auto" w:fill="auto"/>
            <w:vAlign w:val="bottom"/>
          </w:tcPr>
          <w:p w14:paraId="30217389" w14:textId="77777777" w:rsidR="00CC71A0" w:rsidRPr="000F4484" w:rsidRDefault="00CC71A0" w:rsidP="00CC71A0">
            <w:pPr>
              <w:rPr>
                <w:sz w:val="22"/>
                <w:szCs w:val="22"/>
              </w:rPr>
            </w:pPr>
            <w:r w:rsidRPr="000F4484">
              <w:rPr>
                <w:sz w:val="22"/>
                <w:szCs w:val="22"/>
              </w:rPr>
              <w:t>0.14</w:t>
            </w:r>
          </w:p>
        </w:tc>
        <w:tc>
          <w:tcPr>
            <w:tcW w:w="682" w:type="dxa"/>
            <w:tcBorders>
              <w:top w:val="nil"/>
              <w:left w:val="nil"/>
              <w:bottom w:val="nil"/>
              <w:right w:val="single" w:sz="4" w:space="0" w:color="000000"/>
            </w:tcBorders>
            <w:shd w:val="clear" w:color="auto" w:fill="auto"/>
            <w:vAlign w:val="bottom"/>
          </w:tcPr>
          <w:p w14:paraId="658371F6" w14:textId="77777777" w:rsidR="00CC71A0" w:rsidRPr="000F4484" w:rsidRDefault="00067B52" w:rsidP="00CC71A0">
            <w:pPr>
              <w:rPr>
                <w:sz w:val="22"/>
                <w:szCs w:val="22"/>
              </w:rPr>
            </w:pPr>
            <w:r w:rsidRPr="000F4484">
              <w:rPr>
                <w:sz w:val="22"/>
                <w:szCs w:val="22"/>
              </w:rPr>
              <w:t>1.9</w:t>
            </w:r>
          </w:p>
        </w:tc>
        <w:tc>
          <w:tcPr>
            <w:tcW w:w="961" w:type="dxa"/>
            <w:tcBorders>
              <w:top w:val="nil"/>
              <w:left w:val="single" w:sz="4" w:space="0" w:color="000000"/>
              <w:bottom w:val="nil"/>
              <w:right w:val="nil"/>
            </w:tcBorders>
            <w:shd w:val="clear" w:color="auto" w:fill="auto"/>
            <w:vAlign w:val="bottom"/>
          </w:tcPr>
          <w:p w14:paraId="660FA136" w14:textId="77777777" w:rsidR="00CC71A0" w:rsidRPr="000F4484" w:rsidRDefault="00CC71A0" w:rsidP="00CC71A0">
            <w:pPr>
              <w:rPr>
                <w:sz w:val="22"/>
                <w:szCs w:val="22"/>
              </w:rPr>
            </w:pPr>
            <w:r w:rsidRPr="000F4484">
              <w:rPr>
                <w:sz w:val="22"/>
                <w:szCs w:val="22"/>
              </w:rPr>
              <w:t>-0.</w:t>
            </w:r>
            <w:r w:rsidR="00C721E2" w:rsidRPr="000F4484">
              <w:rPr>
                <w:sz w:val="22"/>
                <w:szCs w:val="22"/>
              </w:rPr>
              <w:t>11</w:t>
            </w:r>
            <w:r w:rsidRPr="000F4484">
              <w:rPr>
                <w:sz w:val="22"/>
                <w:szCs w:val="22"/>
              </w:rPr>
              <w:t xml:space="preserve"> </w:t>
            </w:r>
          </w:p>
        </w:tc>
        <w:tc>
          <w:tcPr>
            <w:tcW w:w="908" w:type="dxa"/>
            <w:tcBorders>
              <w:top w:val="nil"/>
              <w:left w:val="nil"/>
              <w:bottom w:val="nil"/>
              <w:right w:val="nil"/>
            </w:tcBorders>
            <w:shd w:val="clear" w:color="auto" w:fill="auto"/>
            <w:vAlign w:val="bottom"/>
          </w:tcPr>
          <w:p w14:paraId="7BEE10D8" w14:textId="77777777" w:rsidR="00CC71A0" w:rsidRPr="000F4484" w:rsidRDefault="00CC71A0" w:rsidP="00CC71A0">
            <w:pPr>
              <w:rPr>
                <w:sz w:val="22"/>
                <w:szCs w:val="22"/>
              </w:rPr>
            </w:pPr>
            <w:r w:rsidRPr="000F4484">
              <w:rPr>
                <w:sz w:val="22"/>
                <w:szCs w:val="22"/>
              </w:rPr>
              <w:t>0.4</w:t>
            </w:r>
            <w:r w:rsidR="00C721E2" w:rsidRPr="000F4484">
              <w:rPr>
                <w:sz w:val="22"/>
                <w:szCs w:val="22"/>
              </w:rPr>
              <w:t>9</w:t>
            </w:r>
          </w:p>
        </w:tc>
        <w:tc>
          <w:tcPr>
            <w:tcW w:w="682" w:type="dxa"/>
            <w:tcBorders>
              <w:top w:val="nil"/>
              <w:left w:val="nil"/>
              <w:bottom w:val="nil"/>
              <w:right w:val="single" w:sz="4" w:space="0" w:color="000000"/>
            </w:tcBorders>
            <w:shd w:val="clear" w:color="auto" w:fill="auto"/>
            <w:vAlign w:val="bottom"/>
          </w:tcPr>
          <w:p w14:paraId="530F788C" w14:textId="77777777" w:rsidR="00CC71A0" w:rsidRPr="000F4484" w:rsidRDefault="00067B52" w:rsidP="00CC71A0">
            <w:pPr>
              <w:rPr>
                <w:sz w:val="22"/>
                <w:szCs w:val="22"/>
              </w:rPr>
            </w:pPr>
            <w:r w:rsidRPr="000F4484">
              <w:rPr>
                <w:sz w:val="22"/>
                <w:szCs w:val="22"/>
              </w:rPr>
              <w:t>4.3</w:t>
            </w:r>
          </w:p>
        </w:tc>
      </w:tr>
      <w:tr w:rsidR="00CC71A0" w:rsidRPr="000F4484" w14:paraId="2058A51C" w14:textId="77777777" w:rsidTr="000F4484">
        <w:tc>
          <w:tcPr>
            <w:tcW w:w="2223" w:type="dxa"/>
            <w:tcBorders>
              <w:top w:val="nil"/>
              <w:left w:val="single" w:sz="4" w:space="0" w:color="000000"/>
              <w:bottom w:val="single" w:sz="4" w:space="0" w:color="000000"/>
              <w:right w:val="single" w:sz="4" w:space="0" w:color="000000"/>
            </w:tcBorders>
            <w:shd w:val="clear" w:color="auto" w:fill="auto"/>
            <w:vAlign w:val="bottom"/>
          </w:tcPr>
          <w:p w14:paraId="3E628746" w14:textId="77777777" w:rsidR="00CC71A0" w:rsidRPr="000F4484" w:rsidRDefault="00CC71A0" w:rsidP="00CC71A0">
            <w:pPr>
              <w:rPr>
                <w:b/>
                <w:i/>
                <w:sz w:val="22"/>
                <w:szCs w:val="22"/>
              </w:rPr>
            </w:pPr>
            <w:r w:rsidRPr="000F4484">
              <w:rPr>
                <w:b/>
                <w:i/>
                <w:sz w:val="22"/>
                <w:szCs w:val="22"/>
              </w:rPr>
              <w:t xml:space="preserve">Putamen </w:t>
            </w:r>
            <w:r w:rsidR="00562982" w:rsidRPr="000F4484">
              <w:rPr>
                <w:b/>
                <w:i/>
                <w:sz w:val="22"/>
                <w:szCs w:val="22"/>
              </w:rPr>
              <w:t>(big&gt;small)</w:t>
            </w:r>
          </w:p>
        </w:tc>
        <w:tc>
          <w:tcPr>
            <w:tcW w:w="750" w:type="dxa"/>
            <w:tcBorders>
              <w:top w:val="nil"/>
              <w:left w:val="single" w:sz="4" w:space="0" w:color="000000"/>
              <w:bottom w:val="single" w:sz="4" w:space="0" w:color="auto"/>
              <w:right w:val="nil"/>
            </w:tcBorders>
            <w:shd w:val="clear" w:color="auto" w:fill="auto"/>
            <w:vAlign w:val="bottom"/>
          </w:tcPr>
          <w:p w14:paraId="1FC7A4B4" w14:textId="77777777" w:rsidR="00CC71A0" w:rsidRPr="000F4484" w:rsidRDefault="00CC71A0" w:rsidP="00CC71A0">
            <w:pPr>
              <w:rPr>
                <w:sz w:val="22"/>
                <w:szCs w:val="22"/>
              </w:rPr>
            </w:pPr>
            <w:r w:rsidRPr="000F4484">
              <w:rPr>
                <w:sz w:val="22"/>
                <w:szCs w:val="22"/>
              </w:rPr>
              <w:t xml:space="preserve"> 0.</w:t>
            </w:r>
            <w:r w:rsidR="00C721E2" w:rsidRPr="000F4484">
              <w:rPr>
                <w:sz w:val="22"/>
                <w:szCs w:val="22"/>
              </w:rPr>
              <w:t>04</w:t>
            </w:r>
            <w:r w:rsidRPr="000F4484">
              <w:rPr>
                <w:sz w:val="22"/>
                <w:szCs w:val="22"/>
              </w:rPr>
              <w:t xml:space="preserve"> </w:t>
            </w:r>
          </w:p>
        </w:tc>
        <w:tc>
          <w:tcPr>
            <w:tcW w:w="696" w:type="dxa"/>
            <w:tcBorders>
              <w:top w:val="nil"/>
              <w:left w:val="nil"/>
              <w:bottom w:val="single" w:sz="4" w:space="0" w:color="auto"/>
              <w:right w:val="nil"/>
            </w:tcBorders>
            <w:shd w:val="clear" w:color="auto" w:fill="auto"/>
            <w:vAlign w:val="bottom"/>
          </w:tcPr>
          <w:p w14:paraId="1F7BE13B" w14:textId="77777777" w:rsidR="00CC71A0" w:rsidRPr="000F4484" w:rsidRDefault="00CC71A0" w:rsidP="00CC71A0">
            <w:pPr>
              <w:rPr>
                <w:sz w:val="22"/>
                <w:szCs w:val="22"/>
              </w:rPr>
            </w:pPr>
            <w:r w:rsidRPr="000F4484">
              <w:rPr>
                <w:sz w:val="22"/>
                <w:szCs w:val="22"/>
              </w:rPr>
              <w:t>0.</w:t>
            </w:r>
            <w:r w:rsidR="00C721E2" w:rsidRPr="000F4484">
              <w:rPr>
                <w:sz w:val="22"/>
                <w:szCs w:val="22"/>
              </w:rPr>
              <w:t>80</w:t>
            </w:r>
          </w:p>
        </w:tc>
        <w:tc>
          <w:tcPr>
            <w:tcW w:w="686" w:type="dxa"/>
            <w:tcBorders>
              <w:top w:val="nil"/>
              <w:left w:val="nil"/>
              <w:bottom w:val="single" w:sz="4" w:space="0" w:color="auto"/>
              <w:right w:val="single" w:sz="4" w:space="0" w:color="000000"/>
            </w:tcBorders>
            <w:shd w:val="clear" w:color="auto" w:fill="auto"/>
            <w:vAlign w:val="bottom"/>
          </w:tcPr>
          <w:p w14:paraId="0B0AC77C" w14:textId="77777777" w:rsidR="00CC71A0" w:rsidRPr="000F4484" w:rsidRDefault="00067B52" w:rsidP="00CC71A0">
            <w:pPr>
              <w:rPr>
                <w:sz w:val="22"/>
                <w:szCs w:val="22"/>
              </w:rPr>
            </w:pPr>
            <w:r w:rsidRPr="000F4484">
              <w:rPr>
                <w:sz w:val="22"/>
                <w:szCs w:val="22"/>
              </w:rPr>
              <w:t>5.3</w:t>
            </w:r>
          </w:p>
        </w:tc>
        <w:tc>
          <w:tcPr>
            <w:tcW w:w="850" w:type="dxa"/>
            <w:tcBorders>
              <w:top w:val="nil"/>
              <w:left w:val="single" w:sz="4" w:space="0" w:color="000000"/>
              <w:bottom w:val="single" w:sz="4" w:space="0" w:color="000000"/>
              <w:right w:val="nil"/>
            </w:tcBorders>
            <w:shd w:val="clear" w:color="auto" w:fill="auto"/>
            <w:vAlign w:val="bottom"/>
          </w:tcPr>
          <w:p w14:paraId="5FD0E67C" w14:textId="77777777" w:rsidR="00CC71A0" w:rsidRPr="000F4484" w:rsidRDefault="00C721E2" w:rsidP="00CC71A0">
            <w:pPr>
              <w:rPr>
                <w:sz w:val="22"/>
                <w:szCs w:val="22"/>
              </w:rPr>
            </w:pPr>
            <w:r w:rsidRPr="000F4484">
              <w:rPr>
                <w:sz w:val="22"/>
                <w:szCs w:val="22"/>
              </w:rPr>
              <w:t>0.06</w:t>
            </w:r>
            <w:r w:rsidR="00CC71A0" w:rsidRPr="000F4484">
              <w:rPr>
                <w:sz w:val="22"/>
                <w:szCs w:val="22"/>
              </w:rPr>
              <w:t xml:space="preserve">  </w:t>
            </w:r>
          </w:p>
        </w:tc>
        <w:tc>
          <w:tcPr>
            <w:tcW w:w="908" w:type="dxa"/>
            <w:tcBorders>
              <w:top w:val="nil"/>
              <w:left w:val="nil"/>
              <w:bottom w:val="single" w:sz="4" w:space="0" w:color="000000"/>
              <w:right w:val="nil"/>
            </w:tcBorders>
            <w:shd w:val="clear" w:color="auto" w:fill="auto"/>
            <w:vAlign w:val="bottom"/>
          </w:tcPr>
          <w:p w14:paraId="3EB7F302" w14:textId="77777777" w:rsidR="00CC71A0" w:rsidRPr="000F4484" w:rsidRDefault="00CC71A0" w:rsidP="00CC71A0">
            <w:pPr>
              <w:rPr>
                <w:sz w:val="22"/>
                <w:szCs w:val="22"/>
              </w:rPr>
            </w:pPr>
            <w:r w:rsidRPr="000F4484">
              <w:rPr>
                <w:sz w:val="22"/>
                <w:szCs w:val="22"/>
              </w:rPr>
              <w:t>0.</w:t>
            </w:r>
            <w:r w:rsidR="00C721E2" w:rsidRPr="000F4484">
              <w:rPr>
                <w:sz w:val="22"/>
                <w:szCs w:val="22"/>
              </w:rPr>
              <w:t>68</w:t>
            </w:r>
          </w:p>
        </w:tc>
        <w:tc>
          <w:tcPr>
            <w:tcW w:w="682" w:type="dxa"/>
            <w:tcBorders>
              <w:top w:val="nil"/>
              <w:left w:val="nil"/>
              <w:bottom w:val="single" w:sz="4" w:space="0" w:color="000000"/>
              <w:right w:val="single" w:sz="4" w:space="0" w:color="000000"/>
            </w:tcBorders>
            <w:shd w:val="clear" w:color="auto" w:fill="auto"/>
            <w:vAlign w:val="bottom"/>
          </w:tcPr>
          <w:p w14:paraId="0FE1CE37" w14:textId="77777777" w:rsidR="00CC71A0" w:rsidRPr="000F4484" w:rsidRDefault="00067B52" w:rsidP="00CC71A0">
            <w:pPr>
              <w:rPr>
                <w:sz w:val="22"/>
                <w:szCs w:val="22"/>
              </w:rPr>
            </w:pPr>
            <w:r w:rsidRPr="000F4484">
              <w:rPr>
                <w:sz w:val="22"/>
                <w:szCs w:val="22"/>
              </w:rPr>
              <w:t>5.0</w:t>
            </w:r>
          </w:p>
        </w:tc>
        <w:tc>
          <w:tcPr>
            <w:tcW w:w="961" w:type="dxa"/>
            <w:tcBorders>
              <w:top w:val="nil"/>
              <w:left w:val="single" w:sz="4" w:space="0" w:color="000000"/>
              <w:bottom w:val="single" w:sz="4" w:space="0" w:color="000000"/>
              <w:right w:val="nil"/>
            </w:tcBorders>
            <w:shd w:val="clear" w:color="auto" w:fill="auto"/>
            <w:vAlign w:val="bottom"/>
          </w:tcPr>
          <w:p w14:paraId="2310C251" w14:textId="77777777" w:rsidR="00CC71A0" w:rsidRPr="000F4484" w:rsidRDefault="00CC71A0" w:rsidP="00CC71A0">
            <w:pPr>
              <w:rPr>
                <w:sz w:val="22"/>
                <w:szCs w:val="22"/>
              </w:rPr>
            </w:pPr>
            <w:r w:rsidRPr="000F4484">
              <w:rPr>
                <w:sz w:val="22"/>
                <w:szCs w:val="22"/>
              </w:rPr>
              <w:t xml:space="preserve"> 0.19 </w:t>
            </w:r>
          </w:p>
        </w:tc>
        <w:tc>
          <w:tcPr>
            <w:tcW w:w="908" w:type="dxa"/>
            <w:tcBorders>
              <w:top w:val="nil"/>
              <w:left w:val="nil"/>
              <w:bottom w:val="single" w:sz="4" w:space="0" w:color="000000"/>
              <w:right w:val="nil"/>
            </w:tcBorders>
            <w:shd w:val="clear" w:color="auto" w:fill="auto"/>
            <w:vAlign w:val="bottom"/>
          </w:tcPr>
          <w:p w14:paraId="7C1ECCAA" w14:textId="77777777" w:rsidR="00CC71A0" w:rsidRPr="000F4484" w:rsidRDefault="00CC71A0" w:rsidP="00CC71A0">
            <w:pPr>
              <w:rPr>
                <w:sz w:val="22"/>
                <w:szCs w:val="22"/>
              </w:rPr>
            </w:pPr>
            <w:r w:rsidRPr="000F4484">
              <w:rPr>
                <w:sz w:val="22"/>
                <w:szCs w:val="22"/>
              </w:rPr>
              <w:t>0.20</w:t>
            </w:r>
          </w:p>
        </w:tc>
        <w:tc>
          <w:tcPr>
            <w:tcW w:w="682" w:type="dxa"/>
            <w:tcBorders>
              <w:top w:val="nil"/>
              <w:left w:val="nil"/>
              <w:bottom w:val="single" w:sz="4" w:space="0" w:color="000000"/>
              <w:right w:val="single" w:sz="4" w:space="0" w:color="000000"/>
            </w:tcBorders>
            <w:shd w:val="clear" w:color="auto" w:fill="auto"/>
            <w:vAlign w:val="bottom"/>
          </w:tcPr>
          <w:p w14:paraId="1A508AC1" w14:textId="77777777" w:rsidR="00CC71A0" w:rsidRPr="000F4484" w:rsidRDefault="00CC71A0" w:rsidP="00CC71A0">
            <w:pPr>
              <w:rPr>
                <w:sz w:val="22"/>
                <w:szCs w:val="22"/>
              </w:rPr>
            </w:pPr>
            <w:r w:rsidRPr="000F4484">
              <w:rPr>
                <w:sz w:val="22"/>
                <w:szCs w:val="22"/>
              </w:rPr>
              <w:t>2.5</w:t>
            </w:r>
          </w:p>
        </w:tc>
      </w:tr>
    </w:tbl>
    <w:p w14:paraId="45FB0818" w14:textId="77777777" w:rsidR="00636FBF" w:rsidRPr="00E9319E" w:rsidRDefault="00636FBF" w:rsidP="00636FBF">
      <w:pPr>
        <w:spacing w:line="480" w:lineRule="auto"/>
        <w:rPr>
          <w:b/>
          <w:bCs/>
          <w:sz w:val="22"/>
          <w:szCs w:val="22"/>
        </w:rPr>
      </w:pPr>
    </w:p>
    <w:p w14:paraId="049F31CB" w14:textId="57F6F5B9" w:rsidR="00CC71A0" w:rsidRPr="00CF07D0" w:rsidRDefault="00636FBF" w:rsidP="00636FBF">
      <w:pPr>
        <w:spacing w:line="480" w:lineRule="auto"/>
        <w:rPr>
          <w:b/>
          <w:bCs/>
          <w:sz w:val="22"/>
          <w:szCs w:val="22"/>
        </w:rPr>
      </w:pPr>
      <w:r w:rsidRPr="00E9319E">
        <w:rPr>
          <w:b/>
          <w:bCs/>
          <w:sz w:val="22"/>
          <w:szCs w:val="22"/>
        </w:rPr>
        <w:t xml:space="preserve">Sup Table </w:t>
      </w:r>
      <w:r w:rsidR="00257076">
        <w:rPr>
          <w:b/>
          <w:bCs/>
          <w:sz w:val="22"/>
          <w:szCs w:val="22"/>
        </w:rPr>
        <w:t>4</w:t>
      </w:r>
      <w:r w:rsidRPr="00E9319E">
        <w:rPr>
          <w:b/>
          <w:bCs/>
          <w:sz w:val="22"/>
          <w:szCs w:val="22"/>
        </w:rPr>
        <w:t xml:space="preserve">: </w:t>
      </w:r>
      <w:r w:rsidRPr="00E9319E">
        <w:rPr>
          <w:b/>
          <w:sz w:val="22"/>
          <w:szCs w:val="22"/>
        </w:rPr>
        <w:t>Correlation between striatal hyperactivity (</w:t>
      </w:r>
      <w:r w:rsidR="008D139D" w:rsidRPr="008D139D">
        <w:rPr>
          <w:b/>
          <w:sz w:val="22"/>
          <w:szCs w:val="22"/>
        </w:rPr>
        <w:t>related to addiction cues</w:t>
      </w:r>
      <w:r w:rsidRPr="00E9319E">
        <w:rPr>
          <w:b/>
          <w:sz w:val="22"/>
          <w:szCs w:val="22"/>
        </w:rPr>
        <w:t>) and hypoactivity (</w:t>
      </w:r>
      <w:r w:rsidR="008D139D" w:rsidRPr="008D139D">
        <w:rPr>
          <w:b/>
          <w:sz w:val="22"/>
          <w:szCs w:val="22"/>
        </w:rPr>
        <w:t>related to monetary reward anticipation</w:t>
      </w:r>
      <w:r w:rsidRPr="00E9319E">
        <w:rPr>
          <w:b/>
          <w:sz w:val="22"/>
          <w:szCs w:val="22"/>
        </w:rPr>
        <w:t xml:space="preserve">) in GD individuals. </w:t>
      </w:r>
      <w:r w:rsidRPr="00E9319E">
        <w:rPr>
          <w:bCs/>
          <w:sz w:val="22"/>
          <w:szCs w:val="22"/>
        </w:rPr>
        <w:t>BF₀₁ reflect Bay</w:t>
      </w:r>
      <w:r>
        <w:rPr>
          <w:bCs/>
          <w:sz w:val="22"/>
          <w:szCs w:val="22"/>
        </w:rPr>
        <w:t>es Factors in favor of the null</w:t>
      </w:r>
      <w:r>
        <w:rPr>
          <w:sz w:val="22"/>
          <w:szCs w:val="22"/>
        </w:rPr>
        <w:t xml:space="preserve">, reflecting how much </w:t>
      </w:r>
      <w:r w:rsidRPr="00E52C2A">
        <w:rPr>
          <w:sz w:val="22"/>
          <w:szCs w:val="22"/>
        </w:rPr>
        <w:t xml:space="preserve">more likely </w:t>
      </w:r>
      <w:r>
        <w:rPr>
          <w:sz w:val="22"/>
          <w:szCs w:val="22"/>
        </w:rPr>
        <w:t xml:space="preserve">these data are to </w:t>
      </w:r>
      <w:r w:rsidRPr="00E52C2A">
        <w:rPr>
          <w:sz w:val="22"/>
          <w:szCs w:val="22"/>
        </w:rPr>
        <w:t>be observed under the hypothesis</w:t>
      </w:r>
      <w:r>
        <w:rPr>
          <w:sz w:val="22"/>
          <w:szCs w:val="22"/>
        </w:rPr>
        <w:t xml:space="preserve"> that </w:t>
      </w:r>
      <w:r w:rsidRPr="00E9319E">
        <w:rPr>
          <w:sz w:val="22"/>
          <w:szCs w:val="22"/>
        </w:rPr>
        <w:t>striatal hyperactivity and hypoactivity are not related</w:t>
      </w:r>
      <w:r w:rsidRPr="00E52C2A">
        <w:rPr>
          <w:sz w:val="22"/>
          <w:szCs w:val="22"/>
        </w:rPr>
        <w:t>.</w:t>
      </w:r>
      <w:r w:rsidR="007C18A9" w:rsidRPr="007C18A9">
        <w:rPr>
          <w:sz w:val="22"/>
          <w:szCs w:val="22"/>
        </w:rPr>
        <w:t xml:space="preserve"> </w:t>
      </w:r>
      <w:r w:rsidR="007C18A9">
        <w:rPr>
          <w:sz w:val="22"/>
          <w:szCs w:val="22"/>
        </w:rPr>
        <w:t>VS=</w:t>
      </w:r>
      <w:r w:rsidR="007C18A9" w:rsidRPr="008D139D">
        <w:rPr>
          <w:sz w:val="22"/>
          <w:szCs w:val="22"/>
        </w:rPr>
        <w:t xml:space="preserve"> </w:t>
      </w:r>
      <w:r w:rsidR="007E50CE">
        <w:rPr>
          <w:sz w:val="22"/>
          <w:szCs w:val="22"/>
        </w:rPr>
        <w:t>v</w:t>
      </w:r>
      <w:r w:rsidR="007C18A9" w:rsidRPr="00E9319E">
        <w:rPr>
          <w:sz w:val="22"/>
          <w:szCs w:val="22"/>
        </w:rPr>
        <w:t>entral striatum</w:t>
      </w:r>
      <w:r w:rsidR="007C18A9">
        <w:rPr>
          <w:sz w:val="22"/>
          <w:szCs w:val="22"/>
        </w:rPr>
        <w:t xml:space="preserve">, </w:t>
      </w:r>
      <w:proofErr w:type="spellStart"/>
      <w:r w:rsidR="007C18A9">
        <w:rPr>
          <w:sz w:val="22"/>
          <w:szCs w:val="22"/>
        </w:rPr>
        <w:t>Alc</w:t>
      </w:r>
      <w:proofErr w:type="spellEnd"/>
      <w:r w:rsidR="007C18A9">
        <w:rPr>
          <w:sz w:val="22"/>
          <w:szCs w:val="22"/>
        </w:rPr>
        <w:t>=alcohol cues, neu=neutral cues, big=big reward (50 cents), small=small rewards (1 cent).</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750"/>
        <w:gridCol w:w="696"/>
        <w:gridCol w:w="686"/>
        <w:gridCol w:w="850"/>
        <w:gridCol w:w="908"/>
        <w:gridCol w:w="682"/>
        <w:gridCol w:w="961"/>
        <w:gridCol w:w="908"/>
        <w:gridCol w:w="682"/>
      </w:tblGrid>
      <w:tr w:rsidR="00C721E2" w:rsidRPr="000F4484" w14:paraId="58F3CAD0" w14:textId="77777777" w:rsidTr="000F4484">
        <w:tc>
          <w:tcPr>
            <w:tcW w:w="2223" w:type="dxa"/>
            <w:tcBorders>
              <w:top w:val="single" w:sz="4" w:space="0" w:color="000000"/>
              <w:left w:val="single" w:sz="4" w:space="0" w:color="000000"/>
              <w:bottom w:val="nil"/>
              <w:right w:val="single" w:sz="4" w:space="0" w:color="000000"/>
            </w:tcBorders>
            <w:shd w:val="clear" w:color="auto" w:fill="auto"/>
          </w:tcPr>
          <w:p w14:paraId="53128261" w14:textId="77777777" w:rsidR="00C721E2" w:rsidRPr="000F4484" w:rsidRDefault="00C721E2" w:rsidP="00944366">
            <w:pPr>
              <w:rPr>
                <w:b/>
                <w:i/>
                <w:sz w:val="22"/>
                <w:szCs w:val="22"/>
              </w:rPr>
            </w:pPr>
          </w:p>
        </w:tc>
        <w:tc>
          <w:tcPr>
            <w:tcW w:w="2132" w:type="dxa"/>
            <w:gridSpan w:val="3"/>
            <w:tcBorders>
              <w:top w:val="single" w:sz="4" w:space="0" w:color="000000"/>
              <w:left w:val="single" w:sz="4" w:space="0" w:color="000000"/>
              <w:bottom w:val="nil"/>
              <w:right w:val="single" w:sz="4" w:space="0" w:color="000000"/>
            </w:tcBorders>
            <w:shd w:val="clear" w:color="auto" w:fill="auto"/>
            <w:vAlign w:val="center"/>
          </w:tcPr>
          <w:p w14:paraId="1ECDF44E" w14:textId="77777777" w:rsidR="00C721E2" w:rsidRPr="000F4484" w:rsidRDefault="00C721E2" w:rsidP="00944366">
            <w:pPr>
              <w:rPr>
                <w:b/>
                <w:bCs/>
                <w:i/>
                <w:sz w:val="22"/>
                <w:szCs w:val="22"/>
              </w:rPr>
            </w:pPr>
            <w:r w:rsidRPr="000F4484">
              <w:rPr>
                <w:b/>
                <w:bCs/>
                <w:i/>
                <w:sz w:val="22"/>
                <w:szCs w:val="22"/>
              </w:rPr>
              <w:t>VS (</w:t>
            </w:r>
            <w:proofErr w:type="spellStart"/>
            <w:r w:rsidRPr="000F4484">
              <w:rPr>
                <w:b/>
                <w:bCs/>
                <w:i/>
                <w:sz w:val="22"/>
                <w:szCs w:val="22"/>
              </w:rPr>
              <w:t>alc</w:t>
            </w:r>
            <w:proofErr w:type="spellEnd"/>
            <w:r w:rsidRPr="000F4484">
              <w:rPr>
                <w:b/>
                <w:bCs/>
                <w:i/>
                <w:sz w:val="22"/>
                <w:szCs w:val="22"/>
              </w:rPr>
              <w:t>&gt;neu)</w:t>
            </w:r>
          </w:p>
        </w:tc>
        <w:tc>
          <w:tcPr>
            <w:tcW w:w="2440" w:type="dxa"/>
            <w:gridSpan w:val="3"/>
            <w:tcBorders>
              <w:top w:val="single" w:sz="4" w:space="0" w:color="000000"/>
              <w:left w:val="single" w:sz="4" w:space="0" w:color="000000"/>
              <w:bottom w:val="nil"/>
              <w:right w:val="single" w:sz="4" w:space="0" w:color="000000"/>
            </w:tcBorders>
            <w:shd w:val="clear" w:color="auto" w:fill="auto"/>
            <w:vAlign w:val="center"/>
          </w:tcPr>
          <w:p w14:paraId="1BCF40CE" w14:textId="77777777" w:rsidR="00C721E2" w:rsidRPr="000F4484" w:rsidRDefault="00C721E2" w:rsidP="00944366">
            <w:pPr>
              <w:rPr>
                <w:b/>
                <w:bCs/>
                <w:i/>
                <w:sz w:val="22"/>
                <w:szCs w:val="22"/>
              </w:rPr>
            </w:pPr>
            <w:r w:rsidRPr="000F4484">
              <w:rPr>
                <w:b/>
                <w:bCs/>
                <w:i/>
                <w:sz w:val="22"/>
                <w:szCs w:val="22"/>
              </w:rPr>
              <w:t>Caudate (</w:t>
            </w:r>
            <w:proofErr w:type="spellStart"/>
            <w:r w:rsidRPr="000F4484">
              <w:rPr>
                <w:b/>
                <w:bCs/>
                <w:i/>
                <w:sz w:val="22"/>
                <w:szCs w:val="22"/>
              </w:rPr>
              <w:t>alc</w:t>
            </w:r>
            <w:proofErr w:type="spellEnd"/>
            <w:r w:rsidRPr="000F4484">
              <w:rPr>
                <w:b/>
                <w:bCs/>
                <w:i/>
                <w:sz w:val="22"/>
                <w:szCs w:val="22"/>
              </w:rPr>
              <w:t>&gt;neu)</w:t>
            </w:r>
          </w:p>
        </w:tc>
        <w:tc>
          <w:tcPr>
            <w:tcW w:w="2551" w:type="dxa"/>
            <w:gridSpan w:val="3"/>
            <w:tcBorders>
              <w:top w:val="single" w:sz="4" w:space="0" w:color="000000"/>
              <w:left w:val="single" w:sz="4" w:space="0" w:color="000000"/>
              <w:bottom w:val="nil"/>
              <w:right w:val="single" w:sz="4" w:space="0" w:color="000000"/>
            </w:tcBorders>
            <w:shd w:val="clear" w:color="auto" w:fill="auto"/>
            <w:vAlign w:val="center"/>
          </w:tcPr>
          <w:p w14:paraId="2788DB4B" w14:textId="77777777" w:rsidR="00C721E2" w:rsidRPr="000F4484" w:rsidRDefault="00C721E2" w:rsidP="00944366">
            <w:pPr>
              <w:rPr>
                <w:b/>
                <w:bCs/>
                <w:i/>
                <w:sz w:val="22"/>
                <w:szCs w:val="22"/>
              </w:rPr>
            </w:pPr>
            <w:r w:rsidRPr="000F4484">
              <w:rPr>
                <w:b/>
                <w:bCs/>
                <w:i/>
                <w:sz w:val="22"/>
                <w:szCs w:val="22"/>
              </w:rPr>
              <w:t>Putamen (</w:t>
            </w:r>
            <w:proofErr w:type="spellStart"/>
            <w:r w:rsidRPr="000F4484">
              <w:rPr>
                <w:b/>
                <w:bCs/>
                <w:i/>
                <w:sz w:val="22"/>
                <w:szCs w:val="22"/>
              </w:rPr>
              <w:t>alc</w:t>
            </w:r>
            <w:proofErr w:type="spellEnd"/>
            <w:r w:rsidRPr="000F4484">
              <w:rPr>
                <w:b/>
                <w:bCs/>
                <w:i/>
                <w:sz w:val="22"/>
                <w:szCs w:val="22"/>
              </w:rPr>
              <w:t>&gt;neu)</w:t>
            </w:r>
          </w:p>
        </w:tc>
      </w:tr>
      <w:tr w:rsidR="00C721E2" w:rsidRPr="000F4484" w14:paraId="6A041876" w14:textId="77777777" w:rsidTr="000F4484">
        <w:tc>
          <w:tcPr>
            <w:tcW w:w="2223" w:type="dxa"/>
            <w:tcBorders>
              <w:top w:val="nil"/>
              <w:left w:val="single" w:sz="4" w:space="0" w:color="000000"/>
              <w:bottom w:val="single" w:sz="4" w:space="0" w:color="000000"/>
              <w:right w:val="single" w:sz="4" w:space="0" w:color="000000"/>
            </w:tcBorders>
            <w:shd w:val="clear" w:color="auto" w:fill="auto"/>
          </w:tcPr>
          <w:p w14:paraId="62486C05" w14:textId="77777777" w:rsidR="00C721E2" w:rsidRPr="000F4484" w:rsidRDefault="00C721E2" w:rsidP="00944366">
            <w:pPr>
              <w:rPr>
                <w:sz w:val="22"/>
                <w:szCs w:val="22"/>
              </w:rPr>
            </w:pPr>
          </w:p>
        </w:tc>
        <w:tc>
          <w:tcPr>
            <w:tcW w:w="750" w:type="dxa"/>
            <w:tcBorders>
              <w:top w:val="nil"/>
              <w:left w:val="single" w:sz="4" w:space="0" w:color="000000"/>
              <w:bottom w:val="single" w:sz="4" w:space="0" w:color="000000"/>
              <w:right w:val="nil"/>
            </w:tcBorders>
            <w:shd w:val="clear" w:color="auto" w:fill="auto"/>
            <w:vAlign w:val="center"/>
          </w:tcPr>
          <w:p w14:paraId="2A38FB55" w14:textId="77777777" w:rsidR="00C721E2" w:rsidRPr="000F4484" w:rsidRDefault="00C721E2" w:rsidP="00944366">
            <w:pPr>
              <w:rPr>
                <w:sz w:val="22"/>
                <w:szCs w:val="22"/>
              </w:rPr>
            </w:pPr>
            <w:r w:rsidRPr="000F4484">
              <w:rPr>
                <w:bCs/>
                <w:sz w:val="22"/>
                <w:szCs w:val="22"/>
              </w:rPr>
              <w:t xml:space="preserve">r </w:t>
            </w:r>
          </w:p>
        </w:tc>
        <w:tc>
          <w:tcPr>
            <w:tcW w:w="696" w:type="dxa"/>
            <w:tcBorders>
              <w:top w:val="nil"/>
              <w:left w:val="nil"/>
              <w:bottom w:val="single" w:sz="4" w:space="0" w:color="000000"/>
              <w:right w:val="nil"/>
            </w:tcBorders>
            <w:shd w:val="clear" w:color="auto" w:fill="auto"/>
            <w:vAlign w:val="center"/>
          </w:tcPr>
          <w:p w14:paraId="26847B2B" w14:textId="77777777" w:rsidR="00C721E2" w:rsidRPr="000F4484" w:rsidRDefault="00C721E2" w:rsidP="00944366">
            <w:pPr>
              <w:rPr>
                <w:i/>
                <w:sz w:val="22"/>
                <w:szCs w:val="22"/>
              </w:rPr>
            </w:pPr>
            <w:r w:rsidRPr="000F4484">
              <w:rPr>
                <w:bCs/>
                <w:i/>
                <w:sz w:val="22"/>
                <w:szCs w:val="22"/>
              </w:rPr>
              <w:t xml:space="preserve">p </w:t>
            </w:r>
          </w:p>
        </w:tc>
        <w:tc>
          <w:tcPr>
            <w:tcW w:w="686" w:type="dxa"/>
            <w:tcBorders>
              <w:top w:val="nil"/>
              <w:left w:val="nil"/>
              <w:bottom w:val="single" w:sz="4" w:space="0" w:color="000000"/>
              <w:right w:val="single" w:sz="4" w:space="0" w:color="000000"/>
            </w:tcBorders>
            <w:shd w:val="clear" w:color="auto" w:fill="auto"/>
            <w:vAlign w:val="center"/>
          </w:tcPr>
          <w:p w14:paraId="52C16338" w14:textId="77777777" w:rsidR="00C721E2" w:rsidRPr="000F4484" w:rsidRDefault="00C721E2" w:rsidP="00944366">
            <w:pPr>
              <w:rPr>
                <w:bCs/>
                <w:sz w:val="22"/>
                <w:szCs w:val="22"/>
              </w:rPr>
            </w:pPr>
            <w:r w:rsidRPr="000F4484">
              <w:rPr>
                <w:bCs/>
                <w:sz w:val="22"/>
                <w:szCs w:val="22"/>
              </w:rPr>
              <w:t xml:space="preserve">BF₀₁ </w:t>
            </w:r>
          </w:p>
        </w:tc>
        <w:tc>
          <w:tcPr>
            <w:tcW w:w="850" w:type="dxa"/>
            <w:tcBorders>
              <w:top w:val="nil"/>
              <w:left w:val="single" w:sz="4" w:space="0" w:color="000000"/>
              <w:bottom w:val="single" w:sz="4" w:space="0" w:color="000000"/>
              <w:right w:val="nil"/>
            </w:tcBorders>
            <w:shd w:val="clear" w:color="auto" w:fill="auto"/>
            <w:vAlign w:val="center"/>
          </w:tcPr>
          <w:p w14:paraId="2851127D" w14:textId="77777777" w:rsidR="00C721E2" w:rsidRPr="000F4484" w:rsidRDefault="00C721E2" w:rsidP="00944366">
            <w:pPr>
              <w:rPr>
                <w:bCs/>
                <w:sz w:val="22"/>
                <w:szCs w:val="22"/>
              </w:rPr>
            </w:pPr>
            <w:r w:rsidRPr="000F4484">
              <w:rPr>
                <w:bCs/>
                <w:sz w:val="22"/>
                <w:szCs w:val="22"/>
              </w:rPr>
              <w:t xml:space="preserve">r </w:t>
            </w:r>
          </w:p>
        </w:tc>
        <w:tc>
          <w:tcPr>
            <w:tcW w:w="908" w:type="dxa"/>
            <w:tcBorders>
              <w:top w:val="nil"/>
              <w:left w:val="nil"/>
              <w:bottom w:val="single" w:sz="4" w:space="0" w:color="000000"/>
              <w:right w:val="nil"/>
            </w:tcBorders>
            <w:shd w:val="clear" w:color="auto" w:fill="auto"/>
            <w:vAlign w:val="center"/>
          </w:tcPr>
          <w:p w14:paraId="5F893BE2" w14:textId="77777777" w:rsidR="00C721E2" w:rsidRPr="000F4484" w:rsidRDefault="00C721E2" w:rsidP="00944366">
            <w:pPr>
              <w:rPr>
                <w:bCs/>
                <w:i/>
                <w:sz w:val="22"/>
                <w:szCs w:val="22"/>
              </w:rPr>
            </w:pPr>
            <w:r w:rsidRPr="000F4484">
              <w:rPr>
                <w:bCs/>
                <w:i/>
                <w:sz w:val="22"/>
                <w:szCs w:val="22"/>
              </w:rPr>
              <w:t xml:space="preserve">p </w:t>
            </w:r>
          </w:p>
        </w:tc>
        <w:tc>
          <w:tcPr>
            <w:tcW w:w="682" w:type="dxa"/>
            <w:tcBorders>
              <w:top w:val="nil"/>
              <w:left w:val="nil"/>
              <w:bottom w:val="single" w:sz="4" w:space="0" w:color="000000"/>
              <w:right w:val="single" w:sz="4" w:space="0" w:color="000000"/>
            </w:tcBorders>
            <w:shd w:val="clear" w:color="auto" w:fill="auto"/>
            <w:vAlign w:val="center"/>
          </w:tcPr>
          <w:p w14:paraId="4F2E1AC4" w14:textId="77777777" w:rsidR="00C721E2" w:rsidRPr="000F4484" w:rsidRDefault="00C721E2" w:rsidP="00944366">
            <w:pPr>
              <w:rPr>
                <w:bCs/>
                <w:sz w:val="22"/>
                <w:szCs w:val="22"/>
              </w:rPr>
            </w:pPr>
            <w:r w:rsidRPr="000F4484">
              <w:rPr>
                <w:bCs/>
                <w:sz w:val="22"/>
                <w:szCs w:val="22"/>
              </w:rPr>
              <w:t xml:space="preserve">BF₀₁ </w:t>
            </w:r>
          </w:p>
        </w:tc>
        <w:tc>
          <w:tcPr>
            <w:tcW w:w="961" w:type="dxa"/>
            <w:tcBorders>
              <w:top w:val="nil"/>
              <w:left w:val="single" w:sz="4" w:space="0" w:color="000000"/>
              <w:bottom w:val="single" w:sz="4" w:space="0" w:color="000000"/>
              <w:right w:val="nil"/>
            </w:tcBorders>
            <w:shd w:val="clear" w:color="auto" w:fill="auto"/>
            <w:vAlign w:val="center"/>
          </w:tcPr>
          <w:p w14:paraId="6511D0C2" w14:textId="77777777" w:rsidR="00C721E2" w:rsidRPr="000F4484" w:rsidRDefault="00C721E2" w:rsidP="00944366">
            <w:pPr>
              <w:rPr>
                <w:bCs/>
                <w:sz w:val="22"/>
                <w:szCs w:val="22"/>
              </w:rPr>
            </w:pPr>
            <w:r w:rsidRPr="000F4484">
              <w:rPr>
                <w:bCs/>
                <w:sz w:val="22"/>
                <w:szCs w:val="22"/>
              </w:rPr>
              <w:t xml:space="preserve">r </w:t>
            </w:r>
          </w:p>
        </w:tc>
        <w:tc>
          <w:tcPr>
            <w:tcW w:w="908" w:type="dxa"/>
            <w:tcBorders>
              <w:top w:val="nil"/>
              <w:left w:val="nil"/>
              <w:bottom w:val="single" w:sz="4" w:space="0" w:color="000000"/>
              <w:right w:val="nil"/>
            </w:tcBorders>
            <w:shd w:val="clear" w:color="auto" w:fill="auto"/>
            <w:vAlign w:val="center"/>
          </w:tcPr>
          <w:p w14:paraId="191E4A4F" w14:textId="77777777" w:rsidR="00C721E2" w:rsidRPr="000F4484" w:rsidRDefault="00C721E2" w:rsidP="00944366">
            <w:pPr>
              <w:rPr>
                <w:bCs/>
                <w:i/>
                <w:sz w:val="22"/>
                <w:szCs w:val="22"/>
              </w:rPr>
            </w:pPr>
            <w:r w:rsidRPr="000F4484">
              <w:rPr>
                <w:bCs/>
                <w:i/>
                <w:sz w:val="22"/>
                <w:szCs w:val="22"/>
              </w:rPr>
              <w:t xml:space="preserve">p </w:t>
            </w:r>
          </w:p>
        </w:tc>
        <w:tc>
          <w:tcPr>
            <w:tcW w:w="682" w:type="dxa"/>
            <w:tcBorders>
              <w:top w:val="nil"/>
              <w:left w:val="nil"/>
              <w:bottom w:val="single" w:sz="4" w:space="0" w:color="000000"/>
              <w:right w:val="single" w:sz="4" w:space="0" w:color="000000"/>
            </w:tcBorders>
            <w:shd w:val="clear" w:color="auto" w:fill="auto"/>
            <w:vAlign w:val="center"/>
          </w:tcPr>
          <w:p w14:paraId="3E2AC9A9" w14:textId="77777777" w:rsidR="00C721E2" w:rsidRPr="000F4484" w:rsidRDefault="00C721E2" w:rsidP="00944366">
            <w:pPr>
              <w:rPr>
                <w:bCs/>
                <w:sz w:val="22"/>
                <w:szCs w:val="22"/>
              </w:rPr>
            </w:pPr>
            <w:r w:rsidRPr="000F4484">
              <w:rPr>
                <w:bCs/>
                <w:sz w:val="22"/>
                <w:szCs w:val="22"/>
              </w:rPr>
              <w:t xml:space="preserve">BF₀₁ </w:t>
            </w:r>
          </w:p>
        </w:tc>
      </w:tr>
      <w:tr w:rsidR="007C18A9" w:rsidRPr="000F4484" w14:paraId="6FDCD600" w14:textId="77777777" w:rsidTr="000F4484">
        <w:tc>
          <w:tcPr>
            <w:tcW w:w="2223" w:type="dxa"/>
            <w:tcBorders>
              <w:top w:val="single" w:sz="4" w:space="0" w:color="000000"/>
              <w:left w:val="single" w:sz="4" w:space="0" w:color="000000"/>
              <w:bottom w:val="nil"/>
              <w:right w:val="single" w:sz="4" w:space="0" w:color="000000"/>
            </w:tcBorders>
            <w:shd w:val="clear" w:color="auto" w:fill="auto"/>
            <w:vAlign w:val="bottom"/>
          </w:tcPr>
          <w:p w14:paraId="68C62CE8" w14:textId="77777777" w:rsidR="007C18A9" w:rsidRPr="000F4484" w:rsidRDefault="007C18A9" w:rsidP="007C18A9">
            <w:pPr>
              <w:rPr>
                <w:b/>
                <w:i/>
                <w:sz w:val="22"/>
                <w:szCs w:val="22"/>
              </w:rPr>
            </w:pPr>
            <w:r w:rsidRPr="000F4484">
              <w:rPr>
                <w:b/>
                <w:i/>
                <w:sz w:val="22"/>
                <w:szCs w:val="22"/>
              </w:rPr>
              <w:t>VS (big&gt;small)</w:t>
            </w:r>
          </w:p>
        </w:tc>
        <w:tc>
          <w:tcPr>
            <w:tcW w:w="750" w:type="dxa"/>
            <w:tcBorders>
              <w:top w:val="single" w:sz="4" w:space="0" w:color="000000"/>
              <w:left w:val="single" w:sz="4" w:space="0" w:color="000000"/>
              <w:bottom w:val="nil"/>
              <w:right w:val="nil"/>
            </w:tcBorders>
            <w:shd w:val="clear" w:color="auto" w:fill="auto"/>
            <w:vAlign w:val="bottom"/>
          </w:tcPr>
          <w:p w14:paraId="6140F60C" w14:textId="77777777" w:rsidR="007C18A9" w:rsidRPr="000F4484" w:rsidRDefault="007C18A9" w:rsidP="007C18A9">
            <w:pPr>
              <w:rPr>
                <w:sz w:val="22"/>
                <w:szCs w:val="22"/>
              </w:rPr>
            </w:pPr>
            <w:r w:rsidRPr="000F4484">
              <w:rPr>
                <w:sz w:val="22"/>
                <w:szCs w:val="22"/>
              </w:rPr>
              <w:t xml:space="preserve">-0.06 </w:t>
            </w:r>
          </w:p>
        </w:tc>
        <w:tc>
          <w:tcPr>
            <w:tcW w:w="696" w:type="dxa"/>
            <w:tcBorders>
              <w:top w:val="single" w:sz="4" w:space="0" w:color="000000"/>
              <w:left w:val="nil"/>
              <w:bottom w:val="nil"/>
              <w:right w:val="nil"/>
            </w:tcBorders>
            <w:shd w:val="clear" w:color="auto" w:fill="auto"/>
            <w:vAlign w:val="bottom"/>
          </w:tcPr>
          <w:p w14:paraId="74DC196C" w14:textId="77777777" w:rsidR="007C18A9" w:rsidRPr="000F4484" w:rsidRDefault="007C18A9" w:rsidP="007C18A9">
            <w:pPr>
              <w:rPr>
                <w:sz w:val="22"/>
                <w:szCs w:val="22"/>
              </w:rPr>
            </w:pPr>
            <w:r w:rsidRPr="000F4484">
              <w:rPr>
                <w:sz w:val="22"/>
                <w:szCs w:val="22"/>
              </w:rPr>
              <w:t>0.78</w:t>
            </w:r>
          </w:p>
        </w:tc>
        <w:tc>
          <w:tcPr>
            <w:tcW w:w="686" w:type="dxa"/>
            <w:tcBorders>
              <w:top w:val="single" w:sz="4" w:space="0" w:color="000000"/>
              <w:left w:val="nil"/>
              <w:bottom w:val="nil"/>
              <w:right w:val="single" w:sz="4" w:space="0" w:color="000000"/>
            </w:tcBorders>
            <w:shd w:val="clear" w:color="auto" w:fill="auto"/>
            <w:vAlign w:val="bottom"/>
          </w:tcPr>
          <w:p w14:paraId="3DA02F6C" w14:textId="77777777" w:rsidR="007C18A9" w:rsidRPr="000F4484" w:rsidRDefault="007C18A9" w:rsidP="007C18A9">
            <w:pPr>
              <w:rPr>
                <w:sz w:val="22"/>
                <w:szCs w:val="22"/>
              </w:rPr>
            </w:pPr>
            <w:r w:rsidRPr="000F4484">
              <w:rPr>
                <w:sz w:val="22"/>
                <w:szCs w:val="22"/>
              </w:rPr>
              <w:t>3.8</w:t>
            </w:r>
          </w:p>
        </w:tc>
        <w:tc>
          <w:tcPr>
            <w:tcW w:w="850" w:type="dxa"/>
            <w:tcBorders>
              <w:top w:val="single" w:sz="4" w:space="0" w:color="000000"/>
              <w:left w:val="single" w:sz="4" w:space="0" w:color="000000"/>
              <w:bottom w:val="nil"/>
              <w:right w:val="nil"/>
            </w:tcBorders>
            <w:shd w:val="clear" w:color="auto" w:fill="auto"/>
            <w:vAlign w:val="bottom"/>
          </w:tcPr>
          <w:p w14:paraId="69E926C8" w14:textId="77777777" w:rsidR="007C18A9" w:rsidRPr="000F4484" w:rsidRDefault="007C18A9" w:rsidP="007C18A9">
            <w:pPr>
              <w:rPr>
                <w:sz w:val="22"/>
                <w:szCs w:val="22"/>
              </w:rPr>
            </w:pPr>
            <w:r w:rsidRPr="000F4484">
              <w:rPr>
                <w:sz w:val="22"/>
                <w:szCs w:val="22"/>
              </w:rPr>
              <w:t xml:space="preserve"> 0.05</w:t>
            </w:r>
          </w:p>
        </w:tc>
        <w:tc>
          <w:tcPr>
            <w:tcW w:w="908" w:type="dxa"/>
            <w:tcBorders>
              <w:top w:val="single" w:sz="4" w:space="0" w:color="000000"/>
              <w:left w:val="nil"/>
              <w:bottom w:val="nil"/>
              <w:right w:val="nil"/>
            </w:tcBorders>
            <w:shd w:val="clear" w:color="auto" w:fill="auto"/>
            <w:vAlign w:val="bottom"/>
          </w:tcPr>
          <w:p w14:paraId="52FDB250" w14:textId="77777777" w:rsidR="007C18A9" w:rsidRPr="000F4484" w:rsidRDefault="007C18A9" w:rsidP="007C18A9">
            <w:pPr>
              <w:rPr>
                <w:sz w:val="22"/>
                <w:szCs w:val="22"/>
              </w:rPr>
            </w:pPr>
            <w:r w:rsidRPr="000F4484">
              <w:rPr>
                <w:sz w:val="22"/>
                <w:szCs w:val="22"/>
              </w:rPr>
              <w:t>0.83</w:t>
            </w:r>
          </w:p>
        </w:tc>
        <w:tc>
          <w:tcPr>
            <w:tcW w:w="682" w:type="dxa"/>
            <w:tcBorders>
              <w:top w:val="single" w:sz="4" w:space="0" w:color="000000"/>
              <w:left w:val="nil"/>
              <w:bottom w:val="nil"/>
              <w:right w:val="single" w:sz="4" w:space="0" w:color="000000"/>
            </w:tcBorders>
            <w:shd w:val="clear" w:color="auto" w:fill="auto"/>
            <w:vAlign w:val="bottom"/>
          </w:tcPr>
          <w:p w14:paraId="0E03A3D7" w14:textId="77777777" w:rsidR="007C18A9" w:rsidRPr="000F4484" w:rsidRDefault="007C18A9" w:rsidP="007C18A9">
            <w:pPr>
              <w:rPr>
                <w:sz w:val="22"/>
                <w:szCs w:val="22"/>
              </w:rPr>
            </w:pPr>
            <w:r w:rsidRPr="000F4484">
              <w:rPr>
                <w:sz w:val="22"/>
                <w:szCs w:val="22"/>
              </w:rPr>
              <w:t>3.9</w:t>
            </w:r>
          </w:p>
        </w:tc>
        <w:tc>
          <w:tcPr>
            <w:tcW w:w="961" w:type="dxa"/>
            <w:tcBorders>
              <w:top w:val="single" w:sz="4" w:space="0" w:color="000000"/>
              <w:left w:val="single" w:sz="4" w:space="0" w:color="000000"/>
              <w:bottom w:val="nil"/>
              <w:right w:val="nil"/>
            </w:tcBorders>
            <w:shd w:val="clear" w:color="auto" w:fill="auto"/>
            <w:vAlign w:val="bottom"/>
          </w:tcPr>
          <w:p w14:paraId="644C1C14" w14:textId="77777777" w:rsidR="007C18A9" w:rsidRPr="000F4484" w:rsidRDefault="007C18A9" w:rsidP="007C18A9">
            <w:pPr>
              <w:rPr>
                <w:sz w:val="22"/>
                <w:szCs w:val="22"/>
              </w:rPr>
            </w:pPr>
            <w:r w:rsidRPr="000F4484">
              <w:rPr>
                <w:sz w:val="22"/>
                <w:szCs w:val="22"/>
              </w:rPr>
              <w:t xml:space="preserve">-0.13 </w:t>
            </w:r>
          </w:p>
        </w:tc>
        <w:tc>
          <w:tcPr>
            <w:tcW w:w="908" w:type="dxa"/>
            <w:tcBorders>
              <w:top w:val="single" w:sz="4" w:space="0" w:color="000000"/>
              <w:left w:val="nil"/>
              <w:bottom w:val="nil"/>
              <w:right w:val="nil"/>
            </w:tcBorders>
            <w:shd w:val="clear" w:color="auto" w:fill="auto"/>
            <w:vAlign w:val="bottom"/>
          </w:tcPr>
          <w:p w14:paraId="3B5A8A37" w14:textId="77777777" w:rsidR="007C18A9" w:rsidRPr="000F4484" w:rsidRDefault="007C18A9" w:rsidP="007C18A9">
            <w:pPr>
              <w:rPr>
                <w:sz w:val="22"/>
                <w:szCs w:val="22"/>
              </w:rPr>
            </w:pPr>
            <w:r w:rsidRPr="000F4484">
              <w:rPr>
                <w:sz w:val="22"/>
                <w:szCs w:val="22"/>
              </w:rPr>
              <w:t>0.54</w:t>
            </w:r>
          </w:p>
        </w:tc>
        <w:tc>
          <w:tcPr>
            <w:tcW w:w="682" w:type="dxa"/>
            <w:tcBorders>
              <w:top w:val="single" w:sz="4" w:space="0" w:color="000000"/>
              <w:left w:val="nil"/>
              <w:bottom w:val="nil"/>
              <w:right w:val="single" w:sz="4" w:space="0" w:color="000000"/>
            </w:tcBorders>
            <w:shd w:val="clear" w:color="auto" w:fill="auto"/>
            <w:vAlign w:val="bottom"/>
          </w:tcPr>
          <w:p w14:paraId="1DB69759" w14:textId="77777777" w:rsidR="007C18A9" w:rsidRPr="000F4484" w:rsidRDefault="007C18A9" w:rsidP="007C18A9">
            <w:pPr>
              <w:rPr>
                <w:sz w:val="22"/>
                <w:szCs w:val="22"/>
              </w:rPr>
            </w:pPr>
            <w:r w:rsidRPr="000F4484">
              <w:rPr>
                <w:sz w:val="22"/>
                <w:szCs w:val="22"/>
              </w:rPr>
              <w:t>3.3</w:t>
            </w:r>
          </w:p>
        </w:tc>
      </w:tr>
      <w:tr w:rsidR="007C18A9" w:rsidRPr="000F4484" w14:paraId="64E8BF27" w14:textId="77777777" w:rsidTr="000F4484">
        <w:tc>
          <w:tcPr>
            <w:tcW w:w="2223" w:type="dxa"/>
            <w:tcBorders>
              <w:top w:val="nil"/>
              <w:left w:val="single" w:sz="4" w:space="0" w:color="000000"/>
              <w:bottom w:val="nil"/>
              <w:right w:val="single" w:sz="4" w:space="0" w:color="000000"/>
            </w:tcBorders>
            <w:shd w:val="clear" w:color="auto" w:fill="auto"/>
            <w:vAlign w:val="bottom"/>
          </w:tcPr>
          <w:p w14:paraId="543D9524" w14:textId="77777777" w:rsidR="007C18A9" w:rsidRPr="000F4484" w:rsidRDefault="007C18A9" w:rsidP="007C18A9">
            <w:pPr>
              <w:rPr>
                <w:b/>
                <w:i/>
                <w:sz w:val="22"/>
                <w:szCs w:val="22"/>
              </w:rPr>
            </w:pPr>
            <w:r w:rsidRPr="000F4484">
              <w:rPr>
                <w:b/>
                <w:i/>
                <w:sz w:val="22"/>
                <w:szCs w:val="22"/>
              </w:rPr>
              <w:t>Caudate (big&gt;small)</w:t>
            </w:r>
          </w:p>
        </w:tc>
        <w:tc>
          <w:tcPr>
            <w:tcW w:w="750" w:type="dxa"/>
            <w:tcBorders>
              <w:top w:val="nil"/>
              <w:left w:val="single" w:sz="4" w:space="0" w:color="000000"/>
              <w:bottom w:val="nil"/>
              <w:right w:val="nil"/>
            </w:tcBorders>
            <w:shd w:val="clear" w:color="auto" w:fill="auto"/>
            <w:vAlign w:val="bottom"/>
          </w:tcPr>
          <w:p w14:paraId="6711CD0D" w14:textId="77777777" w:rsidR="007C18A9" w:rsidRPr="000F4484" w:rsidRDefault="007C18A9" w:rsidP="007C18A9">
            <w:pPr>
              <w:rPr>
                <w:sz w:val="22"/>
                <w:szCs w:val="22"/>
              </w:rPr>
            </w:pPr>
            <w:r w:rsidRPr="000F4484">
              <w:rPr>
                <w:sz w:val="22"/>
                <w:szCs w:val="22"/>
              </w:rPr>
              <w:t xml:space="preserve">-0.11 </w:t>
            </w:r>
          </w:p>
        </w:tc>
        <w:tc>
          <w:tcPr>
            <w:tcW w:w="696" w:type="dxa"/>
            <w:tcBorders>
              <w:top w:val="nil"/>
              <w:left w:val="nil"/>
              <w:bottom w:val="nil"/>
              <w:right w:val="nil"/>
            </w:tcBorders>
            <w:shd w:val="clear" w:color="auto" w:fill="auto"/>
            <w:vAlign w:val="bottom"/>
          </w:tcPr>
          <w:p w14:paraId="57A6971B" w14:textId="77777777" w:rsidR="007C18A9" w:rsidRPr="000F4484" w:rsidRDefault="007C18A9" w:rsidP="007C18A9">
            <w:pPr>
              <w:rPr>
                <w:sz w:val="22"/>
                <w:szCs w:val="22"/>
              </w:rPr>
            </w:pPr>
            <w:r w:rsidRPr="000F4484">
              <w:rPr>
                <w:sz w:val="22"/>
                <w:szCs w:val="22"/>
              </w:rPr>
              <w:t>0.60</w:t>
            </w:r>
          </w:p>
        </w:tc>
        <w:tc>
          <w:tcPr>
            <w:tcW w:w="686" w:type="dxa"/>
            <w:tcBorders>
              <w:top w:val="nil"/>
              <w:left w:val="nil"/>
              <w:bottom w:val="nil"/>
              <w:right w:val="single" w:sz="4" w:space="0" w:color="000000"/>
            </w:tcBorders>
            <w:shd w:val="clear" w:color="auto" w:fill="auto"/>
            <w:vAlign w:val="bottom"/>
          </w:tcPr>
          <w:p w14:paraId="1E01AE08" w14:textId="77777777" w:rsidR="007C18A9" w:rsidRPr="000F4484" w:rsidRDefault="007C18A9" w:rsidP="007C18A9">
            <w:pPr>
              <w:rPr>
                <w:sz w:val="22"/>
                <w:szCs w:val="22"/>
              </w:rPr>
            </w:pPr>
            <w:r w:rsidRPr="000F4484">
              <w:rPr>
                <w:sz w:val="22"/>
                <w:szCs w:val="22"/>
              </w:rPr>
              <w:t>3.5</w:t>
            </w:r>
          </w:p>
        </w:tc>
        <w:tc>
          <w:tcPr>
            <w:tcW w:w="850" w:type="dxa"/>
            <w:tcBorders>
              <w:top w:val="nil"/>
              <w:left w:val="single" w:sz="4" w:space="0" w:color="000000"/>
              <w:bottom w:val="nil"/>
              <w:right w:val="nil"/>
            </w:tcBorders>
            <w:shd w:val="clear" w:color="auto" w:fill="auto"/>
            <w:vAlign w:val="bottom"/>
          </w:tcPr>
          <w:p w14:paraId="48FE4365" w14:textId="77777777" w:rsidR="007C18A9" w:rsidRPr="000F4484" w:rsidRDefault="007C18A9" w:rsidP="007C18A9">
            <w:pPr>
              <w:rPr>
                <w:sz w:val="22"/>
                <w:szCs w:val="22"/>
              </w:rPr>
            </w:pPr>
            <w:r w:rsidRPr="000F4484">
              <w:rPr>
                <w:sz w:val="22"/>
                <w:szCs w:val="22"/>
              </w:rPr>
              <w:t xml:space="preserve"> -0.16</w:t>
            </w:r>
          </w:p>
        </w:tc>
        <w:tc>
          <w:tcPr>
            <w:tcW w:w="908" w:type="dxa"/>
            <w:tcBorders>
              <w:top w:val="nil"/>
              <w:left w:val="nil"/>
              <w:bottom w:val="nil"/>
              <w:right w:val="nil"/>
            </w:tcBorders>
            <w:shd w:val="clear" w:color="auto" w:fill="auto"/>
            <w:vAlign w:val="bottom"/>
          </w:tcPr>
          <w:p w14:paraId="2EAEBB46" w14:textId="77777777" w:rsidR="007C18A9" w:rsidRPr="000F4484" w:rsidRDefault="007C18A9" w:rsidP="007C18A9">
            <w:pPr>
              <w:rPr>
                <w:sz w:val="22"/>
                <w:szCs w:val="22"/>
              </w:rPr>
            </w:pPr>
            <w:r w:rsidRPr="000F4484">
              <w:rPr>
                <w:sz w:val="22"/>
                <w:szCs w:val="22"/>
              </w:rPr>
              <w:t>0.45</w:t>
            </w:r>
          </w:p>
        </w:tc>
        <w:tc>
          <w:tcPr>
            <w:tcW w:w="682" w:type="dxa"/>
            <w:tcBorders>
              <w:top w:val="nil"/>
              <w:left w:val="nil"/>
              <w:bottom w:val="nil"/>
              <w:right w:val="single" w:sz="4" w:space="0" w:color="000000"/>
            </w:tcBorders>
            <w:shd w:val="clear" w:color="auto" w:fill="auto"/>
            <w:vAlign w:val="bottom"/>
          </w:tcPr>
          <w:p w14:paraId="286B0249" w14:textId="77777777" w:rsidR="007C18A9" w:rsidRPr="000F4484" w:rsidRDefault="007C18A9" w:rsidP="007C18A9">
            <w:pPr>
              <w:rPr>
                <w:sz w:val="22"/>
                <w:szCs w:val="22"/>
              </w:rPr>
            </w:pPr>
            <w:r w:rsidRPr="000F4484">
              <w:rPr>
                <w:sz w:val="22"/>
                <w:szCs w:val="22"/>
              </w:rPr>
              <w:t>3.0</w:t>
            </w:r>
          </w:p>
        </w:tc>
        <w:tc>
          <w:tcPr>
            <w:tcW w:w="961" w:type="dxa"/>
            <w:tcBorders>
              <w:top w:val="nil"/>
              <w:left w:val="single" w:sz="4" w:space="0" w:color="000000"/>
              <w:bottom w:val="nil"/>
              <w:right w:val="nil"/>
            </w:tcBorders>
            <w:shd w:val="clear" w:color="auto" w:fill="auto"/>
            <w:vAlign w:val="bottom"/>
          </w:tcPr>
          <w:p w14:paraId="34F80179" w14:textId="77777777" w:rsidR="007C18A9" w:rsidRPr="000F4484" w:rsidRDefault="007C18A9" w:rsidP="007C18A9">
            <w:pPr>
              <w:rPr>
                <w:sz w:val="22"/>
                <w:szCs w:val="22"/>
              </w:rPr>
            </w:pPr>
            <w:r w:rsidRPr="000F4484">
              <w:rPr>
                <w:sz w:val="22"/>
                <w:szCs w:val="22"/>
              </w:rPr>
              <w:t xml:space="preserve">-0.24 </w:t>
            </w:r>
          </w:p>
        </w:tc>
        <w:tc>
          <w:tcPr>
            <w:tcW w:w="908" w:type="dxa"/>
            <w:tcBorders>
              <w:top w:val="nil"/>
              <w:left w:val="nil"/>
              <w:bottom w:val="nil"/>
              <w:right w:val="nil"/>
            </w:tcBorders>
            <w:shd w:val="clear" w:color="auto" w:fill="auto"/>
            <w:vAlign w:val="bottom"/>
          </w:tcPr>
          <w:p w14:paraId="699CBE8C" w14:textId="77777777" w:rsidR="007C18A9" w:rsidRPr="000F4484" w:rsidRDefault="007C18A9" w:rsidP="007C18A9">
            <w:pPr>
              <w:rPr>
                <w:sz w:val="22"/>
                <w:szCs w:val="22"/>
              </w:rPr>
            </w:pPr>
            <w:r w:rsidRPr="000F4484">
              <w:rPr>
                <w:sz w:val="22"/>
                <w:szCs w:val="22"/>
              </w:rPr>
              <w:t>0.27</w:t>
            </w:r>
          </w:p>
        </w:tc>
        <w:tc>
          <w:tcPr>
            <w:tcW w:w="682" w:type="dxa"/>
            <w:tcBorders>
              <w:top w:val="nil"/>
              <w:left w:val="nil"/>
              <w:bottom w:val="nil"/>
              <w:right w:val="single" w:sz="4" w:space="0" w:color="000000"/>
            </w:tcBorders>
            <w:shd w:val="clear" w:color="auto" w:fill="auto"/>
            <w:vAlign w:val="bottom"/>
          </w:tcPr>
          <w:p w14:paraId="24672A24" w14:textId="77777777" w:rsidR="007C18A9" w:rsidRPr="000F4484" w:rsidRDefault="007C18A9" w:rsidP="007C18A9">
            <w:pPr>
              <w:rPr>
                <w:sz w:val="22"/>
                <w:szCs w:val="22"/>
              </w:rPr>
            </w:pPr>
            <w:r w:rsidRPr="000F4484">
              <w:rPr>
                <w:sz w:val="22"/>
                <w:szCs w:val="22"/>
              </w:rPr>
              <w:t>2.2</w:t>
            </w:r>
          </w:p>
        </w:tc>
      </w:tr>
      <w:tr w:rsidR="007C18A9" w:rsidRPr="000F4484" w14:paraId="74842796" w14:textId="77777777" w:rsidTr="000F4484">
        <w:tc>
          <w:tcPr>
            <w:tcW w:w="2223" w:type="dxa"/>
            <w:tcBorders>
              <w:top w:val="nil"/>
              <w:left w:val="single" w:sz="4" w:space="0" w:color="000000"/>
              <w:bottom w:val="single" w:sz="4" w:space="0" w:color="000000"/>
              <w:right w:val="single" w:sz="4" w:space="0" w:color="000000"/>
            </w:tcBorders>
            <w:shd w:val="clear" w:color="auto" w:fill="auto"/>
            <w:vAlign w:val="bottom"/>
          </w:tcPr>
          <w:p w14:paraId="0EE87B0A" w14:textId="77777777" w:rsidR="007C18A9" w:rsidRPr="000F4484" w:rsidRDefault="007C18A9" w:rsidP="007C18A9">
            <w:pPr>
              <w:rPr>
                <w:b/>
                <w:i/>
                <w:sz w:val="22"/>
                <w:szCs w:val="22"/>
              </w:rPr>
            </w:pPr>
            <w:r w:rsidRPr="000F4484">
              <w:rPr>
                <w:b/>
                <w:i/>
                <w:sz w:val="22"/>
                <w:szCs w:val="22"/>
              </w:rPr>
              <w:t>Putamen (big&gt;small)</w:t>
            </w:r>
          </w:p>
        </w:tc>
        <w:tc>
          <w:tcPr>
            <w:tcW w:w="750" w:type="dxa"/>
            <w:tcBorders>
              <w:top w:val="nil"/>
              <w:left w:val="single" w:sz="4" w:space="0" w:color="000000"/>
              <w:bottom w:val="single" w:sz="4" w:space="0" w:color="auto"/>
              <w:right w:val="nil"/>
            </w:tcBorders>
            <w:shd w:val="clear" w:color="auto" w:fill="auto"/>
            <w:vAlign w:val="bottom"/>
          </w:tcPr>
          <w:p w14:paraId="172DA846" w14:textId="77777777" w:rsidR="007C18A9" w:rsidRPr="000F4484" w:rsidRDefault="007C18A9" w:rsidP="007C18A9">
            <w:pPr>
              <w:rPr>
                <w:sz w:val="22"/>
                <w:szCs w:val="22"/>
              </w:rPr>
            </w:pPr>
            <w:r w:rsidRPr="000F4484">
              <w:rPr>
                <w:sz w:val="22"/>
                <w:szCs w:val="22"/>
              </w:rPr>
              <w:t xml:space="preserve"> -0.04 </w:t>
            </w:r>
          </w:p>
        </w:tc>
        <w:tc>
          <w:tcPr>
            <w:tcW w:w="696" w:type="dxa"/>
            <w:tcBorders>
              <w:top w:val="nil"/>
              <w:left w:val="nil"/>
              <w:bottom w:val="single" w:sz="4" w:space="0" w:color="auto"/>
              <w:right w:val="nil"/>
            </w:tcBorders>
            <w:shd w:val="clear" w:color="auto" w:fill="auto"/>
            <w:vAlign w:val="bottom"/>
          </w:tcPr>
          <w:p w14:paraId="52ECE272" w14:textId="77777777" w:rsidR="007C18A9" w:rsidRPr="000F4484" w:rsidRDefault="007C18A9" w:rsidP="007C18A9">
            <w:pPr>
              <w:rPr>
                <w:sz w:val="22"/>
                <w:szCs w:val="22"/>
              </w:rPr>
            </w:pPr>
            <w:r w:rsidRPr="000F4484">
              <w:rPr>
                <w:sz w:val="22"/>
                <w:szCs w:val="22"/>
              </w:rPr>
              <w:t>0.86</w:t>
            </w:r>
          </w:p>
        </w:tc>
        <w:tc>
          <w:tcPr>
            <w:tcW w:w="686" w:type="dxa"/>
            <w:tcBorders>
              <w:top w:val="nil"/>
              <w:left w:val="nil"/>
              <w:bottom w:val="single" w:sz="4" w:space="0" w:color="auto"/>
              <w:right w:val="single" w:sz="4" w:space="0" w:color="000000"/>
            </w:tcBorders>
            <w:shd w:val="clear" w:color="auto" w:fill="auto"/>
            <w:vAlign w:val="bottom"/>
          </w:tcPr>
          <w:p w14:paraId="12A95B4B" w14:textId="77777777" w:rsidR="007C18A9" w:rsidRPr="000F4484" w:rsidRDefault="007C18A9" w:rsidP="007C18A9">
            <w:pPr>
              <w:rPr>
                <w:sz w:val="22"/>
                <w:szCs w:val="22"/>
              </w:rPr>
            </w:pPr>
            <w:r w:rsidRPr="000F4484">
              <w:rPr>
                <w:sz w:val="22"/>
                <w:szCs w:val="22"/>
              </w:rPr>
              <w:t>3.9</w:t>
            </w:r>
          </w:p>
        </w:tc>
        <w:tc>
          <w:tcPr>
            <w:tcW w:w="850" w:type="dxa"/>
            <w:tcBorders>
              <w:top w:val="nil"/>
              <w:left w:val="single" w:sz="4" w:space="0" w:color="000000"/>
              <w:bottom w:val="single" w:sz="4" w:space="0" w:color="000000"/>
              <w:right w:val="nil"/>
            </w:tcBorders>
            <w:shd w:val="clear" w:color="auto" w:fill="auto"/>
            <w:vAlign w:val="bottom"/>
          </w:tcPr>
          <w:p w14:paraId="344A0C30" w14:textId="77777777" w:rsidR="007C18A9" w:rsidRPr="000F4484" w:rsidRDefault="007C18A9" w:rsidP="007C18A9">
            <w:pPr>
              <w:rPr>
                <w:sz w:val="22"/>
                <w:szCs w:val="22"/>
              </w:rPr>
            </w:pPr>
            <w:r w:rsidRPr="000F4484">
              <w:rPr>
                <w:sz w:val="22"/>
                <w:szCs w:val="22"/>
              </w:rPr>
              <w:t xml:space="preserve">-0.23  </w:t>
            </w:r>
          </w:p>
        </w:tc>
        <w:tc>
          <w:tcPr>
            <w:tcW w:w="908" w:type="dxa"/>
            <w:tcBorders>
              <w:top w:val="nil"/>
              <w:left w:val="nil"/>
              <w:bottom w:val="single" w:sz="4" w:space="0" w:color="000000"/>
              <w:right w:val="nil"/>
            </w:tcBorders>
            <w:shd w:val="clear" w:color="auto" w:fill="auto"/>
            <w:vAlign w:val="bottom"/>
          </w:tcPr>
          <w:p w14:paraId="34E1FB6D" w14:textId="77777777" w:rsidR="007C18A9" w:rsidRPr="000F4484" w:rsidRDefault="007C18A9" w:rsidP="007C18A9">
            <w:pPr>
              <w:rPr>
                <w:sz w:val="22"/>
                <w:szCs w:val="22"/>
              </w:rPr>
            </w:pPr>
            <w:r w:rsidRPr="000F4484">
              <w:rPr>
                <w:sz w:val="22"/>
                <w:szCs w:val="22"/>
              </w:rPr>
              <w:t>0.29</w:t>
            </w:r>
          </w:p>
        </w:tc>
        <w:tc>
          <w:tcPr>
            <w:tcW w:w="682" w:type="dxa"/>
            <w:tcBorders>
              <w:top w:val="nil"/>
              <w:left w:val="nil"/>
              <w:bottom w:val="single" w:sz="4" w:space="0" w:color="000000"/>
              <w:right w:val="single" w:sz="4" w:space="0" w:color="000000"/>
            </w:tcBorders>
            <w:shd w:val="clear" w:color="auto" w:fill="auto"/>
            <w:vAlign w:val="bottom"/>
          </w:tcPr>
          <w:p w14:paraId="1C93486C" w14:textId="77777777" w:rsidR="007C18A9" w:rsidRPr="000F4484" w:rsidRDefault="007C18A9" w:rsidP="007C18A9">
            <w:pPr>
              <w:rPr>
                <w:sz w:val="22"/>
                <w:szCs w:val="22"/>
              </w:rPr>
            </w:pPr>
            <w:r w:rsidRPr="000F4484">
              <w:rPr>
                <w:sz w:val="22"/>
                <w:szCs w:val="22"/>
              </w:rPr>
              <w:t>2.3</w:t>
            </w:r>
          </w:p>
        </w:tc>
        <w:tc>
          <w:tcPr>
            <w:tcW w:w="961" w:type="dxa"/>
            <w:tcBorders>
              <w:top w:val="nil"/>
              <w:left w:val="single" w:sz="4" w:space="0" w:color="000000"/>
              <w:bottom w:val="single" w:sz="4" w:space="0" w:color="000000"/>
              <w:right w:val="nil"/>
            </w:tcBorders>
            <w:shd w:val="clear" w:color="auto" w:fill="auto"/>
            <w:vAlign w:val="bottom"/>
          </w:tcPr>
          <w:p w14:paraId="206316F9" w14:textId="77777777" w:rsidR="007C18A9" w:rsidRPr="000F4484" w:rsidRDefault="007C18A9" w:rsidP="007C18A9">
            <w:pPr>
              <w:rPr>
                <w:sz w:val="22"/>
                <w:szCs w:val="22"/>
              </w:rPr>
            </w:pPr>
            <w:r w:rsidRPr="000F4484">
              <w:rPr>
                <w:sz w:val="22"/>
                <w:szCs w:val="22"/>
              </w:rPr>
              <w:t xml:space="preserve"> -0.18 </w:t>
            </w:r>
          </w:p>
        </w:tc>
        <w:tc>
          <w:tcPr>
            <w:tcW w:w="908" w:type="dxa"/>
            <w:tcBorders>
              <w:top w:val="nil"/>
              <w:left w:val="nil"/>
              <w:bottom w:val="single" w:sz="4" w:space="0" w:color="000000"/>
              <w:right w:val="nil"/>
            </w:tcBorders>
            <w:shd w:val="clear" w:color="auto" w:fill="auto"/>
            <w:vAlign w:val="bottom"/>
          </w:tcPr>
          <w:p w14:paraId="6310A6C0" w14:textId="77777777" w:rsidR="007C18A9" w:rsidRPr="000F4484" w:rsidRDefault="007C18A9" w:rsidP="007C18A9">
            <w:pPr>
              <w:rPr>
                <w:sz w:val="22"/>
                <w:szCs w:val="22"/>
              </w:rPr>
            </w:pPr>
            <w:r w:rsidRPr="000F4484">
              <w:rPr>
                <w:sz w:val="22"/>
                <w:szCs w:val="22"/>
              </w:rPr>
              <w:t>0.40</w:t>
            </w:r>
          </w:p>
        </w:tc>
        <w:tc>
          <w:tcPr>
            <w:tcW w:w="682" w:type="dxa"/>
            <w:tcBorders>
              <w:top w:val="nil"/>
              <w:left w:val="nil"/>
              <w:bottom w:val="single" w:sz="4" w:space="0" w:color="000000"/>
              <w:right w:val="single" w:sz="4" w:space="0" w:color="000000"/>
            </w:tcBorders>
            <w:shd w:val="clear" w:color="auto" w:fill="auto"/>
            <w:vAlign w:val="bottom"/>
          </w:tcPr>
          <w:p w14:paraId="5147D317" w14:textId="77777777" w:rsidR="007C18A9" w:rsidRPr="000F4484" w:rsidRDefault="007C18A9" w:rsidP="007C18A9">
            <w:pPr>
              <w:rPr>
                <w:sz w:val="22"/>
                <w:szCs w:val="22"/>
              </w:rPr>
            </w:pPr>
            <w:r w:rsidRPr="000F4484">
              <w:rPr>
                <w:sz w:val="22"/>
                <w:szCs w:val="22"/>
              </w:rPr>
              <w:t>2.8</w:t>
            </w:r>
          </w:p>
        </w:tc>
      </w:tr>
    </w:tbl>
    <w:p w14:paraId="4DAED839" w14:textId="77777777" w:rsidR="00CF07D0" w:rsidRDefault="00CF07D0" w:rsidP="00DE27D1"/>
    <w:p w14:paraId="5A819867" w14:textId="77777777" w:rsidR="00CF07D0" w:rsidRDefault="00CF07D0" w:rsidP="00DE27D1"/>
    <w:p w14:paraId="0F8075D8" w14:textId="4D232410" w:rsidR="00BB230F" w:rsidRDefault="009B7B32" w:rsidP="001B7DC4">
      <w:pPr>
        <w:spacing w:line="360" w:lineRule="auto"/>
        <w:rPr>
          <w:sz w:val="22"/>
          <w:szCs w:val="22"/>
        </w:rPr>
      </w:pPr>
      <w:r w:rsidRPr="00DE27D1">
        <w:rPr>
          <w:b/>
          <w:bCs/>
          <w:sz w:val="22"/>
          <w:szCs w:val="22"/>
        </w:rPr>
        <w:t>Suppl table 5</w:t>
      </w:r>
      <w:r w:rsidRPr="00DE27D1">
        <w:rPr>
          <w:sz w:val="22"/>
          <w:szCs w:val="22"/>
        </w:rPr>
        <w:t>: Correlation</w:t>
      </w:r>
      <w:r w:rsidR="00BB6261">
        <w:rPr>
          <w:sz w:val="22"/>
          <w:szCs w:val="22"/>
        </w:rPr>
        <w:t xml:space="preserve"> </w:t>
      </w:r>
      <w:r w:rsidRPr="00DE27D1">
        <w:rPr>
          <w:sz w:val="22"/>
          <w:szCs w:val="22"/>
        </w:rPr>
        <w:t xml:space="preserve">between </w:t>
      </w:r>
      <w:r w:rsidR="00DE27D1" w:rsidRPr="00DE27D1">
        <w:rPr>
          <w:sz w:val="22"/>
          <w:szCs w:val="22"/>
        </w:rPr>
        <w:t xml:space="preserve">various clinical measures and </w:t>
      </w:r>
      <w:r w:rsidR="00BB230F" w:rsidRPr="00DE27D1">
        <w:rPr>
          <w:sz w:val="22"/>
          <w:szCs w:val="22"/>
        </w:rPr>
        <w:t>neural activity during</w:t>
      </w:r>
      <w:r w:rsidR="00BB230F" w:rsidRPr="00DE27D1">
        <w:t xml:space="preserve"> </w:t>
      </w:r>
      <w:r w:rsidR="00BB230F" w:rsidRPr="00DE27D1">
        <w:rPr>
          <w:sz w:val="22"/>
          <w:szCs w:val="22"/>
        </w:rPr>
        <w:t>Monetary reward anticipation (big &gt; small)</w:t>
      </w:r>
      <w:r w:rsidR="00DE27D1" w:rsidRPr="00DE27D1">
        <w:rPr>
          <w:sz w:val="22"/>
          <w:szCs w:val="22"/>
        </w:rPr>
        <w:t xml:space="preserve"> in the three striatal ROIs</w:t>
      </w:r>
      <w:r w:rsidR="00DE27D1">
        <w:rPr>
          <w:sz w:val="22"/>
          <w:szCs w:val="22"/>
        </w:rPr>
        <w:t xml:space="preserve"> in AUD (study 1)</w:t>
      </w:r>
      <w:r w:rsidR="00BB6261">
        <w:rPr>
          <w:sz w:val="22"/>
          <w:szCs w:val="22"/>
        </w:rPr>
        <w:t xml:space="preserve">. Values represent </w:t>
      </w:r>
      <w:r w:rsidR="00B10F9E">
        <w:rPr>
          <w:sz w:val="22"/>
          <w:szCs w:val="22"/>
        </w:rPr>
        <w:t xml:space="preserve">Pearson correlation </w:t>
      </w:r>
      <w:r w:rsidR="001322CC">
        <w:rPr>
          <w:sz w:val="22"/>
          <w:szCs w:val="22"/>
        </w:rPr>
        <w:t xml:space="preserve">coefficients </w:t>
      </w:r>
      <w:r w:rsidR="00B10F9E">
        <w:rPr>
          <w:sz w:val="22"/>
          <w:szCs w:val="22"/>
        </w:rPr>
        <w:t>(</w:t>
      </w:r>
      <w:r w:rsidR="00BB6261">
        <w:rPr>
          <w:sz w:val="22"/>
          <w:szCs w:val="22"/>
        </w:rPr>
        <w:t>r</w:t>
      </w:r>
      <w:r w:rsidR="00B10F9E">
        <w:rPr>
          <w:sz w:val="22"/>
          <w:szCs w:val="22"/>
        </w:rPr>
        <w:t>).</w:t>
      </w:r>
      <w:r w:rsidR="001B7DC4" w:rsidRPr="001B7DC4">
        <w:t xml:space="preserve"> </w:t>
      </w:r>
      <w:r w:rsidR="001B7DC4" w:rsidRPr="001B7DC4">
        <w:rPr>
          <w:sz w:val="22"/>
          <w:szCs w:val="22"/>
        </w:rPr>
        <w:t xml:space="preserve">﻿The strength and direction are </w:t>
      </w:r>
      <w:r w:rsidR="001B7DC4">
        <w:rPr>
          <w:sz w:val="22"/>
          <w:szCs w:val="22"/>
        </w:rPr>
        <w:t>color coded</w:t>
      </w:r>
      <w:r w:rsidR="001B7DC4" w:rsidRPr="001B7DC4">
        <w:rPr>
          <w:sz w:val="22"/>
          <w:szCs w:val="22"/>
        </w:rPr>
        <w:t>.</w:t>
      </w:r>
    </w:p>
    <w:p w14:paraId="2A1792E2" w14:textId="13C42FBF" w:rsidR="001074FB" w:rsidRDefault="001074FB" w:rsidP="001074FB">
      <w:pPr>
        <w:spacing w:line="360" w:lineRule="auto"/>
        <w:rPr>
          <w:sz w:val="22"/>
          <w:szCs w:val="22"/>
        </w:rPr>
      </w:pPr>
      <w:r>
        <w:rPr>
          <w:sz w:val="22"/>
          <w:szCs w:val="22"/>
        </w:rPr>
        <w:t>-1</w:t>
      </w:r>
      <w:r w:rsidR="001B7DC4">
        <w:rPr>
          <w:sz w:val="22"/>
          <w:szCs w:val="22"/>
        </w:rPr>
        <w:t>.0</w:t>
      </w:r>
      <w:r>
        <w:rPr>
          <w:sz w:val="22"/>
          <w:szCs w:val="22"/>
        </w:rPr>
        <w:tab/>
      </w:r>
      <w:r>
        <w:rPr>
          <w:sz w:val="22"/>
          <w:szCs w:val="22"/>
        </w:rPr>
        <w:tab/>
      </w:r>
      <w:r>
        <w:rPr>
          <w:sz w:val="22"/>
          <w:szCs w:val="22"/>
        </w:rPr>
        <w:tab/>
      </w:r>
      <w:r>
        <w:rPr>
          <w:sz w:val="22"/>
          <w:szCs w:val="22"/>
        </w:rPr>
        <w:tab/>
        <w:t xml:space="preserve">       </w:t>
      </w:r>
      <w:r w:rsidR="001B7DC4">
        <w:rPr>
          <w:sz w:val="22"/>
          <w:szCs w:val="22"/>
        </w:rPr>
        <w:t xml:space="preserve">      </w:t>
      </w:r>
      <w:r>
        <w:rPr>
          <w:sz w:val="22"/>
          <w:szCs w:val="22"/>
        </w:rPr>
        <w:t xml:space="preserve"> 0. </w:t>
      </w:r>
      <w:r>
        <w:rPr>
          <w:sz w:val="22"/>
          <w:szCs w:val="22"/>
        </w:rPr>
        <w:tab/>
      </w:r>
      <w:r>
        <w:rPr>
          <w:sz w:val="22"/>
          <w:szCs w:val="22"/>
        </w:rPr>
        <w:tab/>
      </w:r>
      <w:r>
        <w:rPr>
          <w:sz w:val="22"/>
          <w:szCs w:val="22"/>
        </w:rPr>
        <w:tab/>
      </w:r>
      <w:r>
        <w:rPr>
          <w:sz w:val="22"/>
          <w:szCs w:val="22"/>
        </w:rPr>
        <w:tab/>
      </w:r>
      <w:r w:rsidR="001B7DC4">
        <w:rPr>
          <w:sz w:val="22"/>
          <w:szCs w:val="22"/>
        </w:rPr>
        <w:t xml:space="preserve"> </w:t>
      </w:r>
      <w:r>
        <w:rPr>
          <w:sz w:val="22"/>
          <w:szCs w:val="22"/>
        </w:rPr>
        <w:t>1</w:t>
      </w:r>
      <w:r w:rsidR="001B7DC4">
        <w:rPr>
          <w:sz w:val="22"/>
          <w:szCs w:val="22"/>
        </w:rPr>
        <w:t>.0</w:t>
      </w:r>
    </w:p>
    <w:p w14:paraId="7F75557D" w14:textId="64BB6811" w:rsidR="001074FB" w:rsidRDefault="001B7DC4" w:rsidP="001074FB">
      <w:pPr>
        <w:spacing w:line="360" w:lineRule="auto"/>
        <w:rPr>
          <w:sz w:val="22"/>
          <w:szCs w:val="22"/>
        </w:rPr>
      </w:pPr>
      <w:r>
        <w:rPr>
          <w:sz w:val="22"/>
          <w:szCs w:val="22"/>
        </w:rPr>
        <w:t xml:space="preserve">     </w:t>
      </w:r>
      <w:r w:rsidR="001074FB" w:rsidRPr="00D12FC1">
        <w:rPr>
          <w:noProof/>
          <w:sz w:val="22"/>
          <w:szCs w:val="22"/>
        </w:rPr>
        <w:drawing>
          <wp:inline distT="0" distB="0" distL="0" distR="0" wp14:anchorId="49886447" wp14:editId="107BD070">
            <wp:extent cx="4076700" cy="241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76700" cy="241300"/>
                    </a:xfrm>
                    <a:prstGeom prst="rect">
                      <a:avLst/>
                    </a:prstGeom>
                  </pic:spPr>
                </pic:pic>
              </a:graphicData>
            </a:graphic>
          </wp:inline>
        </w:drawing>
      </w:r>
    </w:p>
    <w:tbl>
      <w:tblPr>
        <w:tblW w:w="7655" w:type="dxa"/>
        <w:tblLook w:val="04A0" w:firstRow="1" w:lastRow="0" w:firstColumn="1" w:lastColumn="0" w:noHBand="0" w:noVBand="1"/>
      </w:tblPr>
      <w:tblGrid>
        <w:gridCol w:w="2200"/>
        <w:gridCol w:w="2040"/>
        <w:gridCol w:w="1320"/>
        <w:gridCol w:w="1670"/>
        <w:gridCol w:w="425"/>
      </w:tblGrid>
      <w:tr w:rsidR="00783419" w:rsidRPr="001A51B9" w14:paraId="39386B40" w14:textId="77777777" w:rsidTr="002E73A1">
        <w:trPr>
          <w:trHeight w:val="340"/>
        </w:trPr>
        <w:tc>
          <w:tcPr>
            <w:tcW w:w="2200" w:type="dxa"/>
            <w:tcBorders>
              <w:top w:val="nil"/>
              <w:left w:val="nil"/>
              <w:bottom w:val="nil"/>
              <w:right w:val="nil"/>
            </w:tcBorders>
            <w:shd w:val="clear" w:color="auto" w:fill="auto"/>
            <w:noWrap/>
            <w:vAlign w:val="bottom"/>
            <w:hideMark/>
          </w:tcPr>
          <w:p w14:paraId="3966EE64" w14:textId="77777777" w:rsidR="00783419" w:rsidRPr="001A51B9" w:rsidRDefault="00783419" w:rsidP="002E73A1">
            <w:pPr>
              <w:jc w:val="center"/>
              <w:rPr>
                <w:rFonts w:ascii="Times New Roman" w:eastAsia="Times New Roman" w:hAnsi="Times New Roman"/>
                <w:sz w:val="20"/>
                <w:szCs w:val="20"/>
                <w:lang w:eastAsia="en-GB"/>
              </w:rPr>
            </w:pPr>
          </w:p>
        </w:tc>
        <w:tc>
          <w:tcPr>
            <w:tcW w:w="5455" w:type="dxa"/>
            <w:gridSpan w:val="4"/>
            <w:tcBorders>
              <w:top w:val="nil"/>
              <w:left w:val="nil"/>
              <w:bottom w:val="nil"/>
              <w:right w:val="nil"/>
            </w:tcBorders>
            <w:shd w:val="clear" w:color="auto" w:fill="auto"/>
            <w:noWrap/>
            <w:vAlign w:val="bottom"/>
            <w:hideMark/>
          </w:tcPr>
          <w:p w14:paraId="3CD457C8" w14:textId="40051635" w:rsidR="00783419" w:rsidRPr="001A51B9" w:rsidRDefault="00783419" w:rsidP="002E73A1">
            <w:pPr>
              <w:rPr>
                <w:rFonts w:eastAsia="Times New Roman" w:cs="Calibri"/>
                <w:b/>
                <w:bCs/>
                <w:lang w:eastAsia="en-GB"/>
              </w:rPr>
            </w:pPr>
            <w:r>
              <w:rPr>
                <w:rFonts w:eastAsia="Times New Roman" w:cs="Calibri"/>
                <w:b/>
                <w:bCs/>
                <w:lang w:eastAsia="en-GB"/>
              </w:rPr>
              <w:t>AUD</w:t>
            </w:r>
            <w:r w:rsidRPr="00783419">
              <w:rPr>
                <w:rFonts w:eastAsia="Times New Roman" w:cs="Calibri"/>
                <w:b/>
                <w:bCs/>
                <w:lang w:eastAsia="en-GB"/>
              </w:rPr>
              <w:t xml:space="preserve">: </w:t>
            </w:r>
            <w:r w:rsidRPr="001A51B9">
              <w:rPr>
                <w:rFonts w:eastAsia="Times New Roman" w:cs="Calibri"/>
                <w:b/>
                <w:bCs/>
                <w:lang w:eastAsia="en-GB"/>
              </w:rPr>
              <w:t xml:space="preserve">Monetary reward anticipation (big &gt; small) </w:t>
            </w:r>
          </w:p>
        </w:tc>
      </w:tr>
      <w:tr w:rsidR="001074FB" w14:paraId="00758150" w14:textId="77777777" w:rsidTr="00783419">
        <w:trPr>
          <w:gridAfter w:val="1"/>
          <w:wAfter w:w="425" w:type="dxa"/>
          <w:trHeight w:val="360"/>
        </w:trPr>
        <w:tc>
          <w:tcPr>
            <w:tcW w:w="2200" w:type="dxa"/>
            <w:tcBorders>
              <w:top w:val="nil"/>
              <w:left w:val="nil"/>
              <w:bottom w:val="nil"/>
              <w:right w:val="single" w:sz="4" w:space="0" w:color="auto"/>
            </w:tcBorders>
            <w:shd w:val="clear" w:color="auto" w:fill="auto"/>
            <w:noWrap/>
            <w:vAlign w:val="bottom"/>
            <w:hideMark/>
          </w:tcPr>
          <w:p w14:paraId="38C176E5" w14:textId="77777777" w:rsidR="001074FB" w:rsidRDefault="001074FB">
            <w:pPr>
              <w:rPr>
                <w:rFonts w:cs="Calibri"/>
                <w:color w:val="000000"/>
                <w:lang w:eastAsia="en-GB"/>
              </w:rPr>
            </w:pPr>
            <w:r>
              <w:rPr>
                <w:rFonts w:cs="Calibri"/>
                <w:color w:val="000000"/>
              </w:rPr>
              <w:t> </w:t>
            </w:r>
          </w:p>
        </w:tc>
        <w:tc>
          <w:tcPr>
            <w:tcW w:w="2040" w:type="dxa"/>
            <w:tcBorders>
              <w:top w:val="single" w:sz="8" w:space="0" w:color="auto"/>
              <w:left w:val="single" w:sz="8" w:space="0" w:color="auto"/>
              <w:bottom w:val="nil"/>
              <w:right w:val="nil"/>
            </w:tcBorders>
            <w:shd w:val="clear" w:color="auto" w:fill="auto"/>
            <w:vAlign w:val="bottom"/>
            <w:hideMark/>
          </w:tcPr>
          <w:p w14:paraId="70FB0069" w14:textId="2D908018" w:rsidR="001074FB" w:rsidRDefault="001074FB">
            <w:pPr>
              <w:jc w:val="center"/>
              <w:rPr>
                <w:rFonts w:cs="Calibri"/>
              </w:rPr>
            </w:pPr>
            <w:r>
              <w:rPr>
                <w:rFonts w:cs="Calibri"/>
              </w:rPr>
              <w:t xml:space="preserve">Ventral </w:t>
            </w:r>
            <w:r w:rsidR="007E50CE">
              <w:rPr>
                <w:rFonts w:cs="Calibri"/>
              </w:rPr>
              <w:t>s</w:t>
            </w:r>
            <w:r>
              <w:rPr>
                <w:rFonts w:cs="Calibri"/>
              </w:rPr>
              <w:t>triatum</w:t>
            </w:r>
          </w:p>
        </w:tc>
        <w:tc>
          <w:tcPr>
            <w:tcW w:w="1320" w:type="dxa"/>
            <w:tcBorders>
              <w:top w:val="single" w:sz="8" w:space="0" w:color="auto"/>
              <w:left w:val="single" w:sz="8" w:space="0" w:color="auto"/>
              <w:bottom w:val="nil"/>
              <w:right w:val="single" w:sz="8" w:space="0" w:color="auto"/>
            </w:tcBorders>
            <w:shd w:val="clear" w:color="auto" w:fill="auto"/>
            <w:vAlign w:val="bottom"/>
            <w:hideMark/>
          </w:tcPr>
          <w:p w14:paraId="684BB873" w14:textId="77777777" w:rsidR="001074FB" w:rsidRDefault="001074FB">
            <w:pPr>
              <w:jc w:val="center"/>
              <w:rPr>
                <w:rFonts w:cs="Calibri"/>
              </w:rPr>
            </w:pPr>
            <w:r>
              <w:rPr>
                <w:rFonts w:cs="Calibri"/>
              </w:rPr>
              <w:t>Caudate</w:t>
            </w:r>
          </w:p>
        </w:tc>
        <w:tc>
          <w:tcPr>
            <w:tcW w:w="1670" w:type="dxa"/>
            <w:tcBorders>
              <w:top w:val="single" w:sz="8" w:space="0" w:color="auto"/>
              <w:left w:val="nil"/>
              <w:bottom w:val="nil"/>
              <w:right w:val="single" w:sz="8" w:space="0" w:color="auto"/>
            </w:tcBorders>
            <w:shd w:val="clear" w:color="auto" w:fill="auto"/>
            <w:vAlign w:val="bottom"/>
            <w:hideMark/>
          </w:tcPr>
          <w:p w14:paraId="3BEFFACE" w14:textId="77777777" w:rsidR="001074FB" w:rsidRDefault="001074FB">
            <w:pPr>
              <w:jc w:val="center"/>
              <w:rPr>
                <w:rFonts w:cs="Calibri"/>
              </w:rPr>
            </w:pPr>
            <w:r>
              <w:rPr>
                <w:rFonts w:cs="Calibri"/>
              </w:rPr>
              <w:t>Putamen</w:t>
            </w:r>
          </w:p>
        </w:tc>
      </w:tr>
      <w:tr w:rsidR="001074FB" w14:paraId="58C10134" w14:textId="77777777" w:rsidTr="00783419">
        <w:trPr>
          <w:gridAfter w:val="1"/>
          <w:wAfter w:w="425" w:type="dxa"/>
          <w:trHeight w:val="320"/>
        </w:trPr>
        <w:tc>
          <w:tcPr>
            <w:tcW w:w="2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36EE90B0" w14:textId="77777777" w:rsidR="001074FB" w:rsidRDefault="001074FB">
            <w:pPr>
              <w:rPr>
                <w:rFonts w:cs="Calibri"/>
                <w:color w:val="000000"/>
              </w:rPr>
            </w:pPr>
            <w:r>
              <w:rPr>
                <w:rFonts w:cs="Calibri"/>
                <w:color w:val="000000"/>
              </w:rPr>
              <w:t>Alcohol craving</w:t>
            </w:r>
          </w:p>
        </w:tc>
        <w:tc>
          <w:tcPr>
            <w:tcW w:w="2040" w:type="dxa"/>
            <w:tcBorders>
              <w:top w:val="single" w:sz="8" w:space="0" w:color="auto"/>
              <w:left w:val="single" w:sz="8" w:space="0" w:color="auto"/>
              <w:bottom w:val="single" w:sz="4" w:space="0" w:color="auto"/>
              <w:right w:val="single" w:sz="4" w:space="0" w:color="auto"/>
            </w:tcBorders>
            <w:shd w:val="clear" w:color="000000" w:fill="FEDCDD"/>
            <w:noWrap/>
            <w:vAlign w:val="bottom"/>
            <w:hideMark/>
          </w:tcPr>
          <w:p w14:paraId="7931735F" w14:textId="77777777" w:rsidR="001074FB" w:rsidRDefault="001074FB">
            <w:pPr>
              <w:jc w:val="center"/>
              <w:rPr>
                <w:rFonts w:cs="Calibri"/>
                <w:color w:val="000000"/>
              </w:rPr>
            </w:pPr>
            <w:r>
              <w:rPr>
                <w:rFonts w:cs="Calibri"/>
                <w:color w:val="000000"/>
              </w:rPr>
              <w:t>-0,14</w:t>
            </w:r>
          </w:p>
        </w:tc>
        <w:tc>
          <w:tcPr>
            <w:tcW w:w="1320" w:type="dxa"/>
            <w:tcBorders>
              <w:top w:val="single" w:sz="8" w:space="0" w:color="auto"/>
              <w:left w:val="single" w:sz="4" w:space="0" w:color="auto"/>
              <w:bottom w:val="single" w:sz="4" w:space="0" w:color="auto"/>
              <w:right w:val="single" w:sz="4" w:space="0" w:color="auto"/>
            </w:tcBorders>
            <w:shd w:val="clear" w:color="000000" w:fill="FEF1F1"/>
            <w:noWrap/>
            <w:vAlign w:val="bottom"/>
            <w:hideMark/>
          </w:tcPr>
          <w:p w14:paraId="7923FB18" w14:textId="77777777" w:rsidR="001074FB" w:rsidRDefault="001074FB">
            <w:pPr>
              <w:jc w:val="center"/>
              <w:rPr>
                <w:rFonts w:cs="Calibri"/>
                <w:color w:val="000000"/>
              </w:rPr>
            </w:pPr>
            <w:r>
              <w:rPr>
                <w:rFonts w:cs="Calibri"/>
                <w:color w:val="000000"/>
              </w:rPr>
              <w:t>-0,06</w:t>
            </w:r>
          </w:p>
        </w:tc>
        <w:tc>
          <w:tcPr>
            <w:tcW w:w="1670" w:type="dxa"/>
            <w:tcBorders>
              <w:top w:val="single" w:sz="8" w:space="0" w:color="auto"/>
              <w:left w:val="single" w:sz="4" w:space="0" w:color="auto"/>
              <w:bottom w:val="single" w:sz="4" w:space="0" w:color="auto"/>
              <w:right w:val="single" w:sz="8" w:space="0" w:color="auto"/>
            </w:tcBorders>
            <w:shd w:val="clear" w:color="000000" w:fill="FEDADB"/>
            <w:noWrap/>
            <w:vAlign w:val="bottom"/>
            <w:hideMark/>
          </w:tcPr>
          <w:p w14:paraId="7464C406" w14:textId="77777777" w:rsidR="001074FB" w:rsidRDefault="001074FB">
            <w:pPr>
              <w:jc w:val="center"/>
              <w:rPr>
                <w:rFonts w:cs="Calibri"/>
                <w:color w:val="000000"/>
              </w:rPr>
            </w:pPr>
            <w:r>
              <w:rPr>
                <w:rFonts w:cs="Calibri"/>
                <w:color w:val="000000"/>
              </w:rPr>
              <w:t>-0,15</w:t>
            </w:r>
          </w:p>
        </w:tc>
      </w:tr>
      <w:tr w:rsidR="001074FB" w14:paraId="05161431" w14:textId="77777777" w:rsidTr="00783419">
        <w:trPr>
          <w:gridAfter w:val="1"/>
          <w:wAfter w:w="425" w:type="dxa"/>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7F581ECC" w14:textId="77777777" w:rsidR="001074FB" w:rsidRDefault="001074FB">
            <w:pPr>
              <w:rPr>
                <w:rFonts w:cs="Calibri"/>
                <w:color w:val="000000"/>
              </w:rPr>
            </w:pPr>
            <w:r>
              <w:rPr>
                <w:rFonts w:cs="Calibri"/>
                <w:color w:val="000000"/>
              </w:rPr>
              <w:t>AUD severity</w:t>
            </w:r>
          </w:p>
        </w:tc>
        <w:tc>
          <w:tcPr>
            <w:tcW w:w="2040" w:type="dxa"/>
            <w:tcBorders>
              <w:top w:val="single" w:sz="4" w:space="0" w:color="auto"/>
              <w:left w:val="single" w:sz="8" w:space="0" w:color="auto"/>
              <w:bottom w:val="single" w:sz="4" w:space="0" w:color="auto"/>
              <w:right w:val="single" w:sz="4" w:space="0" w:color="auto"/>
            </w:tcBorders>
            <w:shd w:val="clear" w:color="000000" w:fill="FEF0F0"/>
            <w:noWrap/>
            <w:vAlign w:val="bottom"/>
            <w:hideMark/>
          </w:tcPr>
          <w:p w14:paraId="72A2826D" w14:textId="77777777" w:rsidR="001074FB" w:rsidRDefault="001074FB">
            <w:pPr>
              <w:jc w:val="center"/>
              <w:rPr>
                <w:rFonts w:cs="Calibri"/>
                <w:color w:val="000000"/>
              </w:rPr>
            </w:pPr>
            <w:r>
              <w:rPr>
                <w:rFonts w:cs="Calibri"/>
                <w:color w:val="000000"/>
              </w:rPr>
              <w:t>-0,06</w:t>
            </w:r>
          </w:p>
        </w:tc>
        <w:tc>
          <w:tcPr>
            <w:tcW w:w="1320" w:type="dxa"/>
            <w:tcBorders>
              <w:top w:val="single" w:sz="4" w:space="0" w:color="auto"/>
              <w:left w:val="single" w:sz="4" w:space="0" w:color="auto"/>
              <w:bottom w:val="single" w:sz="4" w:space="0" w:color="auto"/>
              <w:right w:val="single" w:sz="4" w:space="0" w:color="auto"/>
            </w:tcBorders>
            <w:shd w:val="clear" w:color="000000" w:fill="FED8D9"/>
            <w:noWrap/>
            <w:vAlign w:val="bottom"/>
            <w:hideMark/>
          </w:tcPr>
          <w:p w14:paraId="5F72756C" w14:textId="77777777" w:rsidR="001074FB" w:rsidRDefault="001074FB">
            <w:pPr>
              <w:jc w:val="center"/>
              <w:rPr>
                <w:rFonts w:cs="Calibri"/>
                <w:color w:val="000000"/>
              </w:rPr>
            </w:pPr>
            <w:r>
              <w:rPr>
                <w:rFonts w:cs="Calibri"/>
                <w:color w:val="000000"/>
              </w:rPr>
              <w:t>-0,15</w:t>
            </w:r>
          </w:p>
        </w:tc>
        <w:tc>
          <w:tcPr>
            <w:tcW w:w="1670" w:type="dxa"/>
            <w:tcBorders>
              <w:top w:val="single" w:sz="4" w:space="0" w:color="auto"/>
              <w:left w:val="single" w:sz="4" w:space="0" w:color="auto"/>
              <w:bottom w:val="single" w:sz="4" w:space="0" w:color="auto"/>
              <w:right w:val="single" w:sz="8" w:space="0" w:color="auto"/>
            </w:tcBorders>
            <w:shd w:val="clear" w:color="000000" w:fill="FECCCD"/>
            <w:noWrap/>
            <w:vAlign w:val="bottom"/>
            <w:hideMark/>
          </w:tcPr>
          <w:p w14:paraId="450FAABE" w14:textId="77777777" w:rsidR="001074FB" w:rsidRDefault="001074FB">
            <w:pPr>
              <w:jc w:val="center"/>
              <w:rPr>
                <w:rFonts w:cs="Calibri"/>
                <w:color w:val="000000"/>
              </w:rPr>
            </w:pPr>
            <w:r>
              <w:rPr>
                <w:rFonts w:cs="Calibri"/>
                <w:color w:val="000000"/>
              </w:rPr>
              <w:t>-0,20</w:t>
            </w:r>
          </w:p>
        </w:tc>
      </w:tr>
      <w:tr w:rsidR="001074FB" w14:paraId="09BD3773" w14:textId="77777777" w:rsidTr="00783419">
        <w:trPr>
          <w:gridAfter w:val="1"/>
          <w:wAfter w:w="425" w:type="dxa"/>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3B11551F" w14:textId="77777777" w:rsidR="001074FB" w:rsidRDefault="001074FB">
            <w:pPr>
              <w:rPr>
                <w:rFonts w:cs="Calibri"/>
                <w:color w:val="000000"/>
              </w:rPr>
            </w:pPr>
            <w:r>
              <w:rPr>
                <w:rFonts w:cs="Calibri"/>
                <w:color w:val="000000"/>
              </w:rPr>
              <w:t xml:space="preserve">AUD duration </w:t>
            </w:r>
          </w:p>
        </w:tc>
        <w:tc>
          <w:tcPr>
            <w:tcW w:w="2040" w:type="dxa"/>
            <w:tcBorders>
              <w:top w:val="single" w:sz="4" w:space="0" w:color="auto"/>
              <w:left w:val="single" w:sz="8" w:space="0" w:color="auto"/>
              <w:bottom w:val="single" w:sz="4" w:space="0" w:color="auto"/>
              <w:right w:val="single" w:sz="4" w:space="0" w:color="auto"/>
            </w:tcBorders>
            <w:shd w:val="clear" w:color="000000" w:fill="EDFFEC"/>
            <w:noWrap/>
            <w:vAlign w:val="bottom"/>
            <w:hideMark/>
          </w:tcPr>
          <w:p w14:paraId="22FB5E61" w14:textId="77777777" w:rsidR="001074FB" w:rsidRDefault="001074FB">
            <w:pPr>
              <w:jc w:val="center"/>
              <w:rPr>
                <w:rFonts w:cs="Calibri"/>
                <w:color w:val="000000"/>
              </w:rPr>
            </w:pPr>
            <w:r>
              <w:rPr>
                <w:rFonts w:cs="Calibri"/>
                <w:color w:val="000000"/>
              </w:rPr>
              <w:t>0,08</w:t>
            </w:r>
          </w:p>
        </w:tc>
        <w:tc>
          <w:tcPr>
            <w:tcW w:w="1320" w:type="dxa"/>
            <w:tcBorders>
              <w:top w:val="single" w:sz="4" w:space="0" w:color="auto"/>
              <w:left w:val="single" w:sz="4" w:space="0" w:color="auto"/>
              <w:bottom w:val="single" w:sz="4" w:space="0" w:color="auto"/>
              <w:right w:val="single" w:sz="4" w:space="0" w:color="auto"/>
            </w:tcBorders>
            <w:shd w:val="clear" w:color="000000" w:fill="FEFEFE"/>
            <w:noWrap/>
            <w:vAlign w:val="bottom"/>
            <w:hideMark/>
          </w:tcPr>
          <w:p w14:paraId="20607A18" w14:textId="77777777" w:rsidR="001074FB" w:rsidRDefault="001074FB">
            <w:pPr>
              <w:jc w:val="center"/>
              <w:rPr>
                <w:rFonts w:cs="Calibri"/>
                <w:color w:val="000000"/>
              </w:rPr>
            </w:pPr>
            <w:r>
              <w:rPr>
                <w:rFonts w:cs="Calibri"/>
                <w:color w:val="000000"/>
              </w:rPr>
              <w:t>-0,01</w:t>
            </w:r>
          </w:p>
        </w:tc>
        <w:tc>
          <w:tcPr>
            <w:tcW w:w="1670" w:type="dxa"/>
            <w:tcBorders>
              <w:top w:val="single" w:sz="4" w:space="0" w:color="auto"/>
              <w:left w:val="single" w:sz="4" w:space="0" w:color="auto"/>
              <w:bottom w:val="single" w:sz="4" w:space="0" w:color="auto"/>
              <w:right w:val="single" w:sz="8" w:space="0" w:color="auto"/>
            </w:tcBorders>
            <w:shd w:val="clear" w:color="000000" w:fill="FEFFFE"/>
            <w:noWrap/>
            <w:vAlign w:val="bottom"/>
            <w:hideMark/>
          </w:tcPr>
          <w:p w14:paraId="3038AFCE" w14:textId="77777777" w:rsidR="001074FB" w:rsidRDefault="001074FB">
            <w:pPr>
              <w:jc w:val="center"/>
              <w:rPr>
                <w:rFonts w:cs="Calibri"/>
                <w:color w:val="000000"/>
              </w:rPr>
            </w:pPr>
            <w:r>
              <w:rPr>
                <w:rFonts w:cs="Calibri"/>
                <w:color w:val="000000"/>
              </w:rPr>
              <w:t>0,01</w:t>
            </w:r>
          </w:p>
        </w:tc>
      </w:tr>
      <w:tr w:rsidR="001074FB" w14:paraId="65E97F80" w14:textId="77777777" w:rsidTr="00783419">
        <w:trPr>
          <w:gridAfter w:val="1"/>
          <w:wAfter w:w="425" w:type="dxa"/>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3B04E070" w14:textId="77777777" w:rsidR="001074FB" w:rsidRDefault="001074FB">
            <w:pPr>
              <w:rPr>
                <w:rFonts w:cs="Calibri"/>
                <w:color w:val="000000"/>
              </w:rPr>
            </w:pPr>
            <w:r>
              <w:rPr>
                <w:rFonts w:cs="Calibri"/>
                <w:color w:val="000000"/>
              </w:rPr>
              <w:t>Abstinence</w:t>
            </w:r>
          </w:p>
        </w:tc>
        <w:tc>
          <w:tcPr>
            <w:tcW w:w="2040" w:type="dxa"/>
            <w:tcBorders>
              <w:top w:val="single" w:sz="4" w:space="0" w:color="auto"/>
              <w:left w:val="single" w:sz="8" w:space="0" w:color="auto"/>
              <w:bottom w:val="single" w:sz="4" w:space="0" w:color="auto"/>
              <w:right w:val="single" w:sz="4" w:space="0" w:color="auto"/>
            </w:tcBorders>
            <w:shd w:val="clear" w:color="000000" w:fill="F5FFF5"/>
            <w:noWrap/>
            <w:vAlign w:val="bottom"/>
            <w:hideMark/>
          </w:tcPr>
          <w:p w14:paraId="4523023A" w14:textId="77777777" w:rsidR="001074FB" w:rsidRDefault="001074FB">
            <w:pPr>
              <w:jc w:val="center"/>
              <w:rPr>
                <w:rFonts w:cs="Calibri"/>
                <w:color w:val="000000"/>
              </w:rPr>
            </w:pPr>
            <w:r>
              <w:rPr>
                <w:rFonts w:cs="Calibri"/>
                <w:color w:val="000000"/>
              </w:rPr>
              <w:t>0,04</w:t>
            </w:r>
          </w:p>
        </w:tc>
        <w:tc>
          <w:tcPr>
            <w:tcW w:w="1320" w:type="dxa"/>
            <w:tcBorders>
              <w:top w:val="single" w:sz="4" w:space="0" w:color="auto"/>
              <w:left w:val="single" w:sz="4" w:space="0" w:color="auto"/>
              <w:bottom w:val="single" w:sz="4" w:space="0" w:color="auto"/>
              <w:right w:val="single" w:sz="4" w:space="0" w:color="auto"/>
            </w:tcBorders>
            <w:shd w:val="clear" w:color="000000" w:fill="DAFFD8"/>
            <w:noWrap/>
            <w:vAlign w:val="bottom"/>
            <w:hideMark/>
          </w:tcPr>
          <w:p w14:paraId="6B19473B" w14:textId="77777777" w:rsidR="001074FB" w:rsidRDefault="001074FB">
            <w:pPr>
              <w:jc w:val="center"/>
              <w:rPr>
                <w:rFonts w:cs="Calibri"/>
                <w:color w:val="000000"/>
              </w:rPr>
            </w:pPr>
            <w:r>
              <w:rPr>
                <w:rFonts w:cs="Calibri"/>
                <w:color w:val="000000"/>
              </w:rPr>
              <w:t>0,17</w:t>
            </w:r>
          </w:p>
        </w:tc>
        <w:tc>
          <w:tcPr>
            <w:tcW w:w="1670" w:type="dxa"/>
            <w:tcBorders>
              <w:top w:val="single" w:sz="4" w:space="0" w:color="auto"/>
              <w:left w:val="single" w:sz="4" w:space="0" w:color="auto"/>
              <w:bottom w:val="single" w:sz="4" w:space="0" w:color="auto"/>
              <w:right w:val="single" w:sz="8" w:space="0" w:color="auto"/>
            </w:tcBorders>
            <w:shd w:val="clear" w:color="000000" w:fill="FEF9F9"/>
            <w:noWrap/>
            <w:vAlign w:val="bottom"/>
            <w:hideMark/>
          </w:tcPr>
          <w:p w14:paraId="43CE8C4F" w14:textId="77777777" w:rsidR="001074FB" w:rsidRDefault="001074FB">
            <w:pPr>
              <w:jc w:val="center"/>
              <w:rPr>
                <w:rFonts w:cs="Calibri"/>
                <w:color w:val="000000"/>
              </w:rPr>
            </w:pPr>
            <w:r>
              <w:rPr>
                <w:rFonts w:cs="Calibri"/>
                <w:color w:val="000000"/>
              </w:rPr>
              <w:t>-0,02</w:t>
            </w:r>
          </w:p>
        </w:tc>
      </w:tr>
      <w:tr w:rsidR="001074FB" w14:paraId="1412EF0B" w14:textId="77777777" w:rsidTr="00783419">
        <w:trPr>
          <w:gridAfter w:val="1"/>
          <w:wAfter w:w="425" w:type="dxa"/>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49CD324F" w14:textId="77777777" w:rsidR="001074FB" w:rsidRDefault="001074FB">
            <w:pPr>
              <w:rPr>
                <w:rFonts w:cs="Calibri"/>
                <w:color w:val="000000"/>
              </w:rPr>
            </w:pPr>
            <w:r>
              <w:rPr>
                <w:rFonts w:cs="Calibri"/>
                <w:color w:val="000000"/>
              </w:rPr>
              <w:t>OCDS</w:t>
            </w:r>
          </w:p>
        </w:tc>
        <w:tc>
          <w:tcPr>
            <w:tcW w:w="2040" w:type="dxa"/>
            <w:tcBorders>
              <w:top w:val="single" w:sz="4" w:space="0" w:color="auto"/>
              <w:left w:val="single" w:sz="8" w:space="0" w:color="auto"/>
              <w:bottom w:val="single" w:sz="4" w:space="0" w:color="auto"/>
              <w:right w:val="single" w:sz="4" w:space="0" w:color="auto"/>
            </w:tcBorders>
            <w:shd w:val="clear" w:color="000000" w:fill="FEC3C4"/>
            <w:noWrap/>
            <w:vAlign w:val="bottom"/>
            <w:hideMark/>
          </w:tcPr>
          <w:p w14:paraId="600FCE40" w14:textId="77777777" w:rsidR="001074FB" w:rsidRDefault="001074FB">
            <w:pPr>
              <w:jc w:val="center"/>
              <w:rPr>
                <w:rFonts w:cs="Calibri"/>
                <w:color w:val="000000"/>
              </w:rPr>
            </w:pPr>
            <w:r>
              <w:rPr>
                <w:rFonts w:cs="Calibri"/>
                <w:color w:val="000000"/>
              </w:rPr>
              <w:t>-0,24</w:t>
            </w:r>
          </w:p>
        </w:tc>
        <w:tc>
          <w:tcPr>
            <w:tcW w:w="1320" w:type="dxa"/>
            <w:tcBorders>
              <w:top w:val="single" w:sz="4" w:space="0" w:color="auto"/>
              <w:left w:val="single" w:sz="4" w:space="0" w:color="auto"/>
              <w:bottom w:val="single" w:sz="4" w:space="0" w:color="auto"/>
              <w:right w:val="single" w:sz="4" w:space="0" w:color="auto"/>
            </w:tcBorders>
            <w:shd w:val="clear" w:color="000000" w:fill="FDBABC"/>
            <w:noWrap/>
            <w:vAlign w:val="bottom"/>
            <w:hideMark/>
          </w:tcPr>
          <w:p w14:paraId="59684703" w14:textId="77777777" w:rsidR="001074FB" w:rsidRDefault="001074FB">
            <w:pPr>
              <w:jc w:val="center"/>
              <w:rPr>
                <w:rFonts w:cs="Calibri"/>
                <w:color w:val="000000"/>
              </w:rPr>
            </w:pPr>
            <w:r>
              <w:rPr>
                <w:rFonts w:cs="Calibri"/>
                <w:color w:val="000000"/>
              </w:rPr>
              <w:t>-0,27</w:t>
            </w:r>
          </w:p>
        </w:tc>
        <w:tc>
          <w:tcPr>
            <w:tcW w:w="1670" w:type="dxa"/>
            <w:tcBorders>
              <w:top w:val="single" w:sz="4" w:space="0" w:color="auto"/>
              <w:left w:val="single" w:sz="4" w:space="0" w:color="auto"/>
              <w:bottom w:val="single" w:sz="4" w:space="0" w:color="auto"/>
              <w:right w:val="single" w:sz="8" w:space="0" w:color="auto"/>
            </w:tcBorders>
            <w:shd w:val="clear" w:color="000000" w:fill="FD8F92"/>
            <w:noWrap/>
            <w:vAlign w:val="bottom"/>
            <w:hideMark/>
          </w:tcPr>
          <w:p w14:paraId="10792F29" w14:textId="77777777" w:rsidR="001074FB" w:rsidRDefault="001074FB">
            <w:pPr>
              <w:jc w:val="center"/>
              <w:rPr>
                <w:rFonts w:cs="Calibri"/>
                <w:color w:val="000000"/>
              </w:rPr>
            </w:pPr>
            <w:r>
              <w:rPr>
                <w:rFonts w:cs="Calibri"/>
                <w:color w:val="000000"/>
              </w:rPr>
              <w:t>-0,44</w:t>
            </w:r>
          </w:p>
        </w:tc>
      </w:tr>
      <w:tr w:rsidR="001074FB" w14:paraId="4CDE6E5E" w14:textId="77777777" w:rsidTr="00783419">
        <w:trPr>
          <w:gridAfter w:val="1"/>
          <w:wAfter w:w="425" w:type="dxa"/>
          <w:trHeight w:val="340"/>
        </w:trPr>
        <w:tc>
          <w:tcPr>
            <w:tcW w:w="2200" w:type="dxa"/>
            <w:tcBorders>
              <w:top w:val="nil"/>
              <w:left w:val="single" w:sz="8" w:space="0" w:color="auto"/>
              <w:bottom w:val="single" w:sz="8" w:space="0" w:color="auto"/>
              <w:right w:val="single" w:sz="8" w:space="0" w:color="auto"/>
            </w:tcBorders>
            <w:shd w:val="clear" w:color="auto" w:fill="auto"/>
            <w:noWrap/>
            <w:vAlign w:val="bottom"/>
            <w:hideMark/>
          </w:tcPr>
          <w:p w14:paraId="356946D9" w14:textId="77777777" w:rsidR="001074FB" w:rsidRDefault="001074FB">
            <w:pPr>
              <w:rPr>
                <w:rFonts w:cs="Calibri"/>
                <w:color w:val="000000"/>
              </w:rPr>
            </w:pPr>
            <w:r>
              <w:rPr>
                <w:rFonts w:cs="Calibri"/>
                <w:color w:val="000000"/>
              </w:rPr>
              <w:lastRenderedPageBreak/>
              <w:t>Alcohol intake (kg)</w:t>
            </w:r>
          </w:p>
        </w:tc>
        <w:tc>
          <w:tcPr>
            <w:tcW w:w="2040" w:type="dxa"/>
            <w:tcBorders>
              <w:top w:val="single" w:sz="4" w:space="0" w:color="auto"/>
              <w:left w:val="single" w:sz="8" w:space="0" w:color="auto"/>
              <w:bottom w:val="single" w:sz="8" w:space="0" w:color="auto"/>
              <w:right w:val="single" w:sz="4" w:space="0" w:color="auto"/>
            </w:tcBorders>
            <w:shd w:val="clear" w:color="000000" w:fill="F0FFEF"/>
            <w:noWrap/>
            <w:vAlign w:val="bottom"/>
            <w:hideMark/>
          </w:tcPr>
          <w:p w14:paraId="22CFC21C" w14:textId="77777777" w:rsidR="001074FB" w:rsidRDefault="001074FB">
            <w:pPr>
              <w:jc w:val="center"/>
              <w:rPr>
                <w:rFonts w:cs="Calibri"/>
                <w:color w:val="000000"/>
              </w:rPr>
            </w:pPr>
            <w:r>
              <w:rPr>
                <w:rFonts w:cs="Calibri"/>
                <w:color w:val="000000"/>
              </w:rPr>
              <w:t>0,07</w:t>
            </w:r>
          </w:p>
        </w:tc>
        <w:tc>
          <w:tcPr>
            <w:tcW w:w="1320" w:type="dxa"/>
            <w:tcBorders>
              <w:top w:val="single" w:sz="4" w:space="0" w:color="auto"/>
              <w:left w:val="single" w:sz="4" w:space="0" w:color="auto"/>
              <w:bottom w:val="single" w:sz="8" w:space="0" w:color="auto"/>
              <w:right w:val="single" w:sz="4" w:space="0" w:color="auto"/>
            </w:tcBorders>
            <w:shd w:val="clear" w:color="000000" w:fill="DFFFDD"/>
            <w:noWrap/>
            <w:vAlign w:val="bottom"/>
            <w:hideMark/>
          </w:tcPr>
          <w:p w14:paraId="17566665" w14:textId="77777777" w:rsidR="001074FB" w:rsidRDefault="001074FB">
            <w:pPr>
              <w:jc w:val="center"/>
              <w:rPr>
                <w:rFonts w:cs="Calibri"/>
                <w:color w:val="000000"/>
              </w:rPr>
            </w:pPr>
            <w:r>
              <w:rPr>
                <w:rFonts w:cs="Calibri"/>
                <w:color w:val="000000"/>
              </w:rPr>
              <w:t>0,15</w:t>
            </w:r>
          </w:p>
        </w:tc>
        <w:tc>
          <w:tcPr>
            <w:tcW w:w="1670" w:type="dxa"/>
            <w:tcBorders>
              <w:top w:val="single" w:sz="4" w:space="0" w:color="auto"/>
              <w:left w:val="single" w:sz="4" w:space="0" w:color="auto"/>
              <w:bottom w:val="single" w:sz="8" w:space="0" w:color="auto"/>
              <w:right w:val="single" w:sz="8" w:space="0" w:color="auto"/>
            </w:tcBorders>
            <w:shd w:val="clear" w:color="000000" w:fill="DCFFDA"/>
            <w:noWrap/>
            <w:vAlign w:val="bottom"/>
            <w:hideMark/>
          </w:tcPr>
          <w:p w14:paraId="68A2E956" w14:textId="77777777" w:rsidR="001074FB" w:rsidRDefault="001074FB">
            <w:pPr>
              <w:jc w:val="center"/>
              <w:rPr>
                <w:rFonts w:cs="Calibri"/>
                <w:color w:val="000000"/>
              </w:rPr>
            </w:pPr>
            <w:r>
              <w:rPr>
                <w:rFonts w:cs="Calibri"/>
                <w:color w:val="000000"/>
              </w:rPr>
              <w:t>0,16</w:t>
            </w:r>
          </w:p>
        </w:tc>
      </w:tr>
    </w:tbl>
    <w:p w14:paraId="37854A4E" w14:textId="33A5BE0F" w:rsidR="00BB230F" w:rsidRDefault="00BB230F" w:rsidP="009B7B32">
      <w:pPr>
        <w:spacing w:line="480" w:lineRule="auto"/>
        <w:rPr>
          <w:sz w:val="22"/>
          <w:szCs w:val="22"/>
        </w:rPr>
      </w:pPr>
    </w:p>
    <w:p w14:paraId="3CF7556E" w14:textId="6510C89D" w:rsidR="00DE27D1" w:rsidRDefault="00DE27D1" w:rsidP="00CF07D0">
      <w:pPr>
        <w:spacing w:line="360" w:lineRule="auto"/>
        <w:rPr>
          <w:sz w:val="22"/>
          <w:szCs w:val="22"/>
        </w:rPr>
      </w:pPr>
      <w:r w:rsidRPr="00DE27D1">
        <w:rPr>
          <w:b/>
          <w:bCs/>
          <w:sz w:val="22"/>
          <w:szCs w:val="22"/>
        </w:rPr>
        <w:t xml:space="preserve">Suppl table </w:t>
      </w:r>
      <w:r>
        <w:rPr>
          <w:b/>
          <w:bCs/>
          <w:sz w:val="22"/>
          <w:szCs w:val="22"/>
        </w:rPr>
        <w:t>6</w:t>
      </w:r>
      <w:r w:rsidRPr="00DE27D1">
        <w:rPr>
          <w:sz w:val="22"/>
          <w:szCs w:val="22"/>
        </w:rPr>
        <w:t>: Correlation between various clinical measures and neural activity during</w:t>
      </w:r>
      <w:r w:rsidRPr="00DE27D1">
        <w:rPr>
          <w:rFonts w:eastAsia="Times New Roman" w:cs="Calibri"/>
          <w:lang w:eastAsia="en-GB"/>
        </w:rPr>
        <w:t xml:space="preserve"> </w:t>
      </w:r>
      <w:r w:rsidRPr="00DE27D1">
        <w:rPr>
          <w:sz w:val="22"/>
          <w:szCs w:val="22"/>
        </w:rPr>
        <w:t>c</w:t>
      </w:r>
      <w:r w:rsidRPr="009B7B32">
        <w:rPr>
          <w:sz w:val="22"/>
          <w:szCs w:val="22"/>
          <w:lang/>
        </w:rPr>
        <w:t>ue-reactivity (alcohol-related &gt; neutral cue)</w:t>
      </w:r>
      <w:r w:rsidRPr="00DE27D1">
        <w:rPr>
          <w:b/>
          <w:bCs/>
          <w:sz w:val="22"/>
          <w:szCs w:val="22"/>
        </w:rPr>
        <w:t xml:space="preserve"> </w:t>
      </w:r>
      <w:r>
        <w:rPr>
          <w:sz w:val="22"/>
          <w:szCs w:val="22"/>
        </w:rPr>
        <w:t xml:space="preserve">for </w:t>
      </w:r>
      <w:r w:rsidRPr="00DE27D1">
        <w:rPr>
          <w:sz w:val="22"/>
          <w:szCs w:val="22"/>
        </w:rPr>
        <w:t>the three striatal ROIs</w:t>
      </w:r>
      <w:r>
        <w:rPr>
          <w:sz w:val="22"/>
          <w:szCs w:val="22"/>
        </w:rPr>
        <w:t xml:space="preserve"> in AUD (study 1)</w:t>
      </w:r>
      <w:r w:rsidR="00E937A5">
        <w:rPr>
          <w:sz w:val="22"/>
          <w:szCs w:val="22"/>
        </w:rPr>
        <w:t>. Values represent Pearson correlation coefficients (r).</w:t>
      </w:r>
    </w:p>
    <w:tbl>
      <w:tblPr>
        <w:tblW w:w="7655" w:type="dxa"/>
        <w:tblLook w:val="04A0" w:firstRow="1" w:lastRow="0" w:firstColumn="1" w:lastColumn="0" w:noHBand="0" w:noVBand="1"/>
      </w:tblPr>
      <w:tblGrid>
        <w:gridCol w:w="2200"/>
        <w:gridCol w:w="2040"/>
        <w:gridCol w:w="1320"/>
        <w:gridCol w:w="1670"/>
        <w:gridCol w:w="425"/>
      </w:tblGrid>
      <w:tr w:rsidR="00783419" w:rsidRPr="001A51B9" w14:paraId="67C9A892" w14:textId="77777777" w:rsidTr="002E73A1">
        <w:trPr>
          <w:trHeight w:val="340"/>
        </w:trPr>
        <w:tc>
          <w:tcPr>
            <w:tcW w:w="2200" w:type="dxa"/>
            <w:tcBorders>
              <w:top w:val="nil"/>
              <w:left w:val="nil"/>
              <w:bottom w:val="nil"/>
              <w:right w:val="nil"/>
            </w:tcBorders>
            <w:shd w:val="clear" w:color="auto" w:fill="auto"/>
            <w:noWrap/>
            <w:vAlign w:val="bottom"/>
            <w:hideMark/>
          </w:tcPr>
          <w:p w14:paraId="251F1AB5" w14:textId="77777777" w:rsidR="00783419" w:rsidRPr="001A51B9" w:rsidRDefault="00783419" w:rsidP="002E73A1">
            <w:pPr>
              <w:jc w:val="center"/>
              <w:rPr>
                <w:rFonts w:ascii="Times New Roman" w:eastAsia="Times New Roman" w:hAnsi="Times New Roman"/>
                <w:sz w:val="20"/>
                <w:szCs w:val="20"/>
                <w:lang w:eastAsia="en-GB"/>
              </w:rPr>
            </w:pPr>
          </w:p>
        </w:tc>
        <w:tc>
          <w:tcPr>
            <w:tcW w:w="5455" w:type="dxa"/>
            <w:gridSpan w:val="4"/>
            <w:tcBorders>
              <w:top w:val="nil"/>
              <w:left w:val="nil"/>
              <w:bottom w:val="nil"/>
              <w:right w:val="nil"/>
            </w:tcBorders>
            <w:shd w:val="clear" w:color="auto" w:fill="auto"/>
            <w:noWrap/>
            <w:vAlign w:val="bottom"/>
            <w:hideMark/>
          </w:tcPr>
          <w:p w14:paraId="355061EE" w14:textId="0DC6711F" w:rsidR="00783419" w:rsidRPr="001A51B9" w:rsidRDefault="00783419" w:rsidP="002E73A1">
            <w:pPr>
              <w:rPr>
                <w:rFonts w:eastAsia="Times New Roman" w:cs="Calibri"/>
                <w:b/>
                <w:bCs/>
                <w:lang w:eastAsia="en-GB"/>
              </w:rPr>
            </w:pPr>
            <w:r>
              <w:rPr>
                <w:rFonts w:eastAsia="Times New Roman" w:cs="Calibri"/>
                <w:b/>
                <w:bCs/>
                <w:lang w:eastAsia="en-GB"/>
              </w:rPr>
              <w:t>AUD</w:t>
            </w:r>
            <w:r w:rsidRPr="00783419">
              <w:rPr>
                <w:rFonts w:eastAsia="Times New Roman" w:cs="Calibri"/>
                <w:b/>
                <w:bCs/>
                <w:lang w:eastAsia="en-GB"/>
              </w:rPr>
              <w:t xml:space="preserve">: </w:t>
            </w:r>
            <w:r>
              <w:rPr>
                <w:rFonts w:cs="Calibri"/>
                <w:b/>
                <w:bCs/>
              </w:rPr>
              <w:t>Cue-reactivity (alcohol-related &gt; neutral cue</w:t>
            </w:r>
            <w:r w:rsidRPr="001A51B9">
              <w:rPr>
                <w:rFonts w:eastAsia="Times New Roman" w:cs="Calibri"/>
                <w:b/>
                <w:bCs/>
                <w:lang w:eastAsia="en-GB"/>
              </w:rPr>
              <w:t xml:space="preserve">) </w:t>
            </w:r>
          </w:p>
        </w:tc>
      </w:tr>
      <w:tr w:rsidR="002C634A" w14:paraId="38D42A1E" w14:textId="77777777" w:rsidTr="00783419">
        <w:trPr>
          <w:gridAfter w:val="1"/>
          <w:wAfter w:w="425" w:type="dxa"/>
          <w:trHeight w:val="360"/>
        </w:trPr>
        <w:tc>
          <w:tcPr>
            <w:tcW w:w="2200" w:type="dxa"/>
            <w:tcBorders>
              <w:top w:val="nil"/>
              <w:left w:val="nil"/>
              <w:bottom w:val="single" w:sz="8" w:space="0" w:color="auto"/>
              <w:right w:val="single" w:sz="8" w:space="0" w:color="auto"/>
            </w:tcBorders>
            <w:shd w:val="clear" w:color="auto" w:fill="auto"/>
            <w:noWrap/>
            <w:vAlign w:val="bottom"/>
            <w:hideMark/>
          </w:tcPr>
          <w:p w14:paraId="062AE7C1" w14:textId="77777777" w:rsidR="002C634A" w:rsidRDefault="002C634A">
            <w:pPr>
              <w:rPr>
                <w:rFonts w:cs="Calibri"/>
                <w:color w:val="000000"/>
                <w:lang w:eastAsia="en-GB"/>
              </w:rPr>
            </w:pPr>
            <w:r>
              <w:rPr>
                <w:rFonts w:cs="Calibri"/>
                <w:color w:val="000000"/>
              </w:rPr>
              <w:t> </w:t>
            </w:r>
          </w:p>
        </w:tc>
        <w:tc>
          <w:tcPr>
            <w:tcW w:w="2040" w:type="dxa"/>
            <w:tcBorders>
              <w:top w:val="single" w:sz="8" w:space="0" w:color="auto"/>
              <w:left w:val="nil"/>
              <w:bottom w:val="single" w:sz="8" w:space="0" w:color="auto"/>
              <w:right w:val="nil"/>
            </w:tcBorders>
            <w:shd w:val="clear" w:color="auto" w:fill="auto"/>
            <w:vAlign w:val="bottom"/>
            <w:hideMark/>
          </w:tcPr>
          <w:p w14:paraId="3709796E" w14:textId="526732E0" w:rsidR="002C634A" w:rsidRDefault="002C634A">
            <w:pPr>
              <w:jc w:val="center"/>
              <w:rPr>
                <w:rFonts w:cs="Calibri"/>
              </w:rPr>
            </w:pPr>
            <w:r>
              <w:rPr>
                <w:rFonts w:cs="Calibri"/>
              </w:rPr>
              <w:t xml:space="preserve">Ventral </w:t>
            </w:r>
            <w:r w:rsidR="007E50CE">
              <w:rPr>
                <w:rFonts w:cs="Calibri"/>
              </w:rPr>
              <w:t>s</w:t>
            </w:r>
            <w:r>
              <w:rPr>
                <w:rFonts w:cs="Calibri"/>
              </w:rPr>
              <w:t>triatum</w:t>
            </w:r>
          </w:p>
        </w:tc>
        <w:tc>
          <w:tcPr>
            <w:tcW w:w="1320"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01845226" w14:textId="77777777" w:rsidR="002C634A" w:rsidRDefault="002C634A">
            <w:pPr>
              <w:jc w:val="center"/>
              <w:rPr>
                <w:rFonts w:cs="Calibri"/>
              </w:rPr>
            </w:pPr>
            <w:r>
              <w:rPr>
                <w:rFonts w:cs="Calibri"/>
              </w:rPr>
              <w:t>Caudate</w:t>
            </w:r>
          </w:p>
        </w:tc>
        <w:tc>
          <w:tcPr>
            <w:tcW w:w="1670" w:type="dxa"/>
            <w:tcBorders>
              <w:top w:val="single" w:sz="8" w:space="0" w:color="auto"/>
              <w:left w:val="nil"/>
              <w:bottom w:val="single" w:sz="8" w:space="0" w:color="auto"/>
              <w:right w:val="single" w:sz="8" w:space="0" w:color="auto"/>
            </w:tcBorders>
            <w:shd w:val="clear" w:color="auto" w:fill="auto"/>
            <w:vAlign w:val="bottom"/>
            <w:hideMark/>
          </w:tcPr>
          <w:p w14:paraId="4C501F78" w14:textId="77777777" w:rsidR="002C634A" w:rsidRDefault="002C634A">
            <w:pPr>
              <w:jc w:val="center"/>
              <w:rPr>
                <w:rFonts w:cs="Calibri"/>
              </w:rPr>
            </w:pPr>
            <w:r>
              <w:rPr>
                <w:rFonts w:cs="Calibri"/>
              </w:rPr>
              <w:t>Putamen</w:t>
            </w:r>
          </w:p>
        </w:tc>
      </w:tr>
      <w:tr w:rsidR="002C634A" w14:paraId="3A807D25" w14:textId="77777777" w:rsidTr="00783419">
        <w:trPr>
          <w:gridAfter w:val="1"/>
          <w:wAfter w:w="425" w:type="dxa"/>
          <w:trHeight w:val="320"/>
        </w:trPr>
        <w:tc>
          <w:tcPr>
            <w:tcW w:w="220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3E6098F1" w14:textId="77777777" w:rsidR="002C634A" w:rsidRDefault="002C634A">
            <w:pPr>
              <w:rPr>
                <w:rFonts w:cs="Calibri"/>
                <w:color w:val="000000"/>
              </w:rPr>
            </w:pPr>
            <w:r>
              <w:rPr>
                <w:rFonts w:cs="Calibri"/>
                <w:color w:val="000000"/>
              </w:rPr>
              <w:t>Alcohol craving</w:t>
            </w:r>
          </w:p>
        </w:tc>
        <w:tc>
          <w:tcPr>
            <w:tcW w:w="2040" w:type="dxa"/>
            <w:tcBorders>
              <w:top w:val="single" w:sz="8" w:space="0" w:color="auto"/>
              <w:left w:val="single" w:sz="8" w:space="0" w:color="auto"/>
              <w:bottom w:val="single" w:sz="4" w:space="0" w:color="auto"/>
              <w:right w:val="single" w:sz="4" w:space="0" w:color="auto"/>
            </w:tcBorders>
            <w:shd w:val="clear" w:color="000000" w:fill="F5FFF5"/>
            <w:noWrap/>
            <w:vAlign w:val="bottom"/>
            <w:hideMark/>
          </w:tcPr>
          <w:p w14:paraId="1AD81970" w14:textId="77777777" w:rsidR="002C634A" w:rsidRDefault="002C634A">
            <w:pPr>
              <w:jc w:val="center"/>
              <w:rPr>
                <w:rFonts w:cs="Calibri"/>
                <w:color w:val="000000"/>
              </w:rPr>
            </w:pPr>
            <w:r>
              <w:rPr>
                <w:rFonts w:cs="Calibri"/>
                <w:color w:val="000000"/>
              </w:rPr>
              <w:t>0,05</w:t>
            </w:r>
          </w:p>
        </w:tc>
        <w:tc>
          <w:tcPr>
            <w:tcW w:w="1320" w:type="dxa"/>
            <w:tcBorders>
              <w:top w:val="single" w:sz="8" w:space="0" w:color="auto"/>
              <w:left w:val="single" w:sz="4" w:space="0" w:color="auto"/>
              <w:bottom w:val="single" w:sz="4" w:space="0" w:color="auto"/>
              <w:right w:val="single" w:sz="4" w:space="0" w:color="auto"/>
            </w:tcBorders>
            <w:shd w:val="clear" w:color="000000" w:fill="FEFBFB"/>
            <w:noWrap/>
            <w:vAlign w:val="bottom"/>
            <w:hideMark/>
          </w:tcPr>
          <w:p w14:paraId="6F54A6E4" w14:textId="77777777" w:rsidR="002C634A" w:rsidRDefault="002C634A">
            <w:pPr>
              <w:jc w:val="center"/>
              <w:rPr>
                <w:rFonts w:cs="Calibri"/>
                <w:color w:val="000000"/>
              </w:rPr>
            </w:pPr>
            <w:r>
              <w:rPr>
                <w:rFonts w:cs="Calibri"/>
                <w:color w:val="000000"/>
              </w:rPr>
              <w:t>-0,02</w:t>
            </w:r>
          </w:p>
        </w:tc>
        <w:tc>
          <w:tcPr>
            <w:tcW w:w="1670" w:type="dxa"/>
            <w:tcBorders>
              <w:top w:val="single" w:sz="8" w:space="0" w:color="auto"/>
              <w:left w:val="single" w:sz="4" w:space="0" w:color="auto"/>
              <w:bottom w:val="single" w:sz="4" w:space="0" w:color="auto"/>
              <w:right w:val="single" w:sz="8" w:space="0" w:color="auto"/>
            </w:tcBorders>
            <w:shd w:val="clear" w:color="000000" w:fill="F3FFF2"/>
            <w:noWrap/>
            <w:vAlign w:val="bottom"/>
            <w:hideMark/>
          </w:tcPr>
          <w:p w14:paraId="1D93646D" w14:textId="77777777" w:rsidR="002C634A" w:rsidRDefault="002C634A">
            <w:pPr>
              <w:jc w:val="center"/>
              <w:rPr>
                <w:rFonts w:cs="Calibri"/>
                <w:color w:val="000000"/>
              </w:rPr>
            </w:pPr>
            <w:r>
              <w:rPr>
                <w:rFonts w:cs="Calibri"/>
                <w:color w:val="000000"/>
              </w:rPr>
              <w:t>0,05</w:t>
            </w:r>
          </w:p>
        </w:tc>
      </w:tr>
      <w:tr w:rsidR="002C634A" w14:paraId="59B45971" w14:textId="77777777" w:rsidTr="00783419">
        <w:trPr>
          <w:gridAfter w:val="1"/>
          <w:wAfter w:w="425" w:type="dxa"/>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6E4DBC38" w14:textId="77777777" w:rsidR="002C634A" w:rsidRDefault="002C634A">
            <w:pPr>
              <w:rPr>
                <w:rFonts w:cs="Calibri"/>
                <w:color w:val="000000"/>
              </w:rPr>
            </w:pPr>
            <w:r>
              <w:rPr>
                <w:rFonts w:cs="Calibri"/>
                <w:color w:val="000000"/>
              </w:rPr>
              <w:t>AUD severity</w:t>
            </w:r>
          </w:p>
        </w:tc>
        <w:tc>
          <w:tcPr>
            <w:tcW w:w="2040" w:type="dxa"/>
            <w:tcBorders>
              <w:top w:val="single" w:sz="4" w:space="0" w:color="auto"/>
              <w:left w:val="single" w:sz="8" w:space="0" w:color="auto"/>
              <w:bottom w:val="single" w:sz="4" w:space="0" w:color="auto"/>
              <w:right w:val="single" w:sz="4" w:space="0" w:color="auto"/>
            </w:tcBorders>
            <w:shd w:val="clear" w:color="000000" w:fill="D9FFD6"/>
            <w:noWrap/>
            <w:vAlign w:val="bottom"/>
            <w:hideMark/>
          </w:tcPr>
          <w:p w14:paraId="373AB0FF" w14:textId="77777777" w:rsidR="002C634A" w:rsidRDefault="002C634A">
            <w:pPr>
              <w:jc w:val="center"/>
              <w:rPr>
                <w:rFonts w:cs="Calibri"/>
                <w:color w:val="000000"/>
              </w:rPr>
            </w:pPr>
            <w:r>
              <w:rPr>
                <w:rFonts w:cs="Calibri"/>
                <w:color w:val="000000"/>
              </w:rPr>
              <w:t>0,18</w:t>
            </w:r>
          </w:p>
        </w:tc>
        <w:tc>
          <w:tcPr>
            <w:tcW w:w="1320" w:type="dxa"/>
            <w:tcBorders>
              <w:top w:val="single" w:sz="4" w:space="0" w:color="auto"/>
              <w:left w:val="single" w:sz="4" w:space="0" w:color="auto"/>
              <w:bottom w:val="single" w:sz="4" w:space="0" w:color="auto"/>
              <w:right w:val="single" w:sz="4" w:space="0" w:color="auto"/>
            </w:tcBorders>
            <w:shd w:val="clear" w:color="000000" w:fill="C4FFC0"/>
            <w:noWrap/>
            <w:vAlign w:val="bottom"/>
            <w:hideMark/>
          </w:tcPr>
          <w:p w14:paraId="61A4FBD4" w14:textId="77777777" w:rsidR="002C634A" w:rsidRDefault="002C634A">
            <w:pPr>
              <w:jc w:val="center"/>
              <w:rPr>
                <w:rFonts w:cs="Calibri"/>
                <w:color w:val="000000"/>
              </w:rPr>
            </w:pPr>
            <w:r>
              <w:rPr>
                <w:rFonts w:cs="Calibri"/>
                <w:color w:val="000000"/>
              </w:rPr>
              <w:t>0,27</w:t>
            </w:r>
          </w:p>
        </w:tc>
        <w:tc>
          <w:tcPr>
            <w:tcW w:w="1670" w:type="dxa"/>
            <w:tcBorders>
              <w:top w:val="single" w:sz="4" w:space="0" w:color="auto"/>
              <w:left w:val="single" w:sz="4" w:space="0" w:color="auto"/>
              <w:bottom w:val="single" w:sz="4" w:space="0" w:color="auto"/>
              <w:right w:val="single" w:sz="8" w:space="0" w:color="auto"/>
            </w:tcBorders>
            <w:shd w:val="clear" w:color="000000" w:fill="D2FFCF"/>
            <w:noWrap/>
            <w:vAlign w:val="bottom"/>
            <w:hideMark/>
          </w:tcPr>
          <w:p w14:paraId="115DE203" w14:textId="77777777" w:rsidR="002C634A" w:rsidRDefault="002C634A">
            <w:pPr>
              <w:jc w:val="center"/>
              <w:rPr>
                <w:rFonts w:cs="Calibri"/>
                <w:color w:val="000000"/>
              </w:rPr>
            </w:pPr>
            <w:r>
              <w:rPr>
                <w:rFonts w:cs="Calibri"/>
                <w:color w:val="000000"/>
              </w:rPr>
              <w:t>0,21</w:t>
            </w:r>
          </w:p>
        </w:tc>
      </w:tr>
      <w:tr w:rsidR="002C634A" w14:paraId="4F196612" w14:textId="77777777" w:rsidTr="00783419">
        <w:trPr>
          <w:gridAfter w:val="1"/>
          <w:wAfter w:w="425" w:type="dxa"/>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76D82169" w14:textId="77777777" w:rsidR="002C634A" w:rsidRDefault="002C634A">
            <w:pPr>
              <w:rPr>
                <w:rFonts w:cs="Calibri"/>
                <w:color w:val="000000"/>
              </w:rPr>
            </w:pPr>
            <w:r>
              <w:rPr>
                <w:rFonts w:cs="Calibri"/>
                <w:color w:val="000000"/>
              </w:rPr>
              <w:t xml:space="preserve">AUD duration </w:t>
            </w:r>
          </w:p>
        </w:tc>
        <w:tc>
          <w:tcPr>
            <w:tcW w:w="2040" w:type="dxa"/>
            <w:tcBorders>
              <w:top w:val="single" w:sz="4" w:space="0" w:color="auto"/>
              <w:left w:val="single" w:sz="8" w:space="0" w:color="auto"/>
              <w:bottom w:val="single" w:sz="4" w:space="0" w:color="auto"/>
              <w:right w:val="single" w:sz="4" w:space="0" w:color="auto"/>
            </w:tcBorders>
            <w:shd w:val="clear" w:color="000000" w:fill="EDFFEC"/>
            <w:noWrap/>
            <w:vAlign w:val="bottom"/>
            <w:hideMark/>
          </w:tcPr>
          <w:p w14:paraId="5C869F6C" w14:textId="77777777" w:rsidR="002C634A" w:rsidRDefault="002C634A">
            <w:pPr>
              <w:jc w:val="center"/>
              <w:rPr>
                <w:rFonts w:cs="Calibri"/>
                <w:color w:val="000000"/>
              </w:rPr>
            </w:pPr>
            <w:r>
              <w:rPr>
                <w:rFonts w:cs="Calibri"/>
                <w:color w:val="000000"/>
              </w:rPr>
              <w:t>0,08</w:t>
            </w:r>
          </w:p>
        </w:tc>
        <w:tc>
          <w:tcPr>
            <w:tcW w:w="1320" w:type="dxa"/>
            <w:tcBorders>
              <w:top w:val="single" w:sz="4" w:space="0" w:color="auto"/>
              <w:left w:val="single" w:sz="4" w:space="0" w:color="auto"/>
              <w:bottom w:val="single" w:sz="4" w:space="0" w:color="auto"/>
              <w:right w:val="single" w:sz="4" w:space="0" w:color="auto"/>
            </w:tcBorders>
            <w:shd w:val="clear" w:color="000000" w:fill="F8FFF8"/>
            <w:noWrap/>
            <w:vAlign w:val="bottom"/>
            <w:hideMark/>
          </w:tcPr>
          <w:p w14:paraId="339EC9D4" w14:textId="77777777" w:rsidR="002C634A" w:rsidRDefault="002C634A">
            <w:pPr>
              <w:jc w:val="center"/>
              <w:rPr>
                <w:rFonts w:cs="Calibri"/>
                <w:color w:val="000000"/>
              </w:rPr>
            </w:pPr>
            <w:r>
              <w:rPr>
                <w:rFonts w:cs="Calibri"/>
                <w:color w:val="000000"/>
              </w:rPr>
              <w:t>0,03</w:t>
            </w:r>
          </w:p>
        </w:tc>
        <w:tc>
          <w:tcPr>
            <w:tcW w:w="1670" w:type="dxa"/>
            <w:tcBorders>
              <w:top w:val="single" w:sz="4" w:space="0" w:color="auto"/>
              <w:left w:val="single" w:sz="4" w:space="0" w:color="auto"/>
              <w:bottom w:val="single" w:sz="4" w:space="0" w:color="auto"/>
              <w:right w:val="single" w:sz="8" w:space="0" w:color="auto"/>
            </w:tcBorders>
            <w:shd w:val="clear" w:color="000000" w:fill="F5FFF4"/>
            <w:noWrap/>
            <w:vAlign w:val="bottom"/>
            <w:hideMark/>
          </w:tcPr>
          <w:p w14:paraId="6DB18A74" w14:textId="77777777" w:rsidR="002C634A" w:rsidRDefault="002C634A">
            <w:pPr>
              <w:jc w:val="center"/>
              <w:rPr>
                <w:rFonts w:cs="Calibri"/>
                <w:color w:val="000000"/>
              </w:rPr>
            </w:pPr>
            <w:r>
              <w:rPr>
                <w:rFonts w:cs="Calibri"/>
                <w:color w:val="000000"/>
              </w:rPr>
              <w:t>0,05</w:t>
            </w:r>
          </w:p>
        </w:tc>
      </w:tr>
      <w:tr w:rsidR="002C634A" w14:paraId="663B5BA3" w14:textId="77777777" w:rsidTr="00783419">
        <w:trPr>
          <w:gridAfter w:val="1"/>
          <w:wAfter w:w="425" w:type="dxa"/>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1C6DA9F7" w14:textId="77777777" w:rsidR="002C634A" w:rsidRDefault="002C634A">
            <w:pPr>
              <w:rPr>
                <w:rFonts w:cs="Calibri"/>
                <w:color w:val="000000"/>
              </w:rPr>
            </w:pPr>
            <w:r>
              <w:rPr>
                <w:rFonts w:cs="Calibri"/>
                <w:color w:val="000000"/>
              </w:rPr>
              <w:t>Abstinence</w:t>
            </w:r>
          </w:p>
        </w:tc>
        <w:tc>
          <w:tcPr>
            <w:tcW w:w="2040" w:type="dxa"/>
            <w:tcBorders>
              <w:top w:val="single" w:sz="4" w:space="0" w:color="auto"/>
              <w:left w:val="single" w:sz="8" w:space="0" w:color="auto"/>
              <w:bottom w:val="single" w:sz="4" w:space="0" w:color="auto"/>
              <w:right w:val="single" w:sz="4" w:space="0" w:color="auto"/>
            </w:tcBorders>
            <w:shd w:val="clear" w:color="000000" w:fill="FEEDED"/>
            <w:noWrap/>
            <w:vAlign w:val="bottom"/>
            <w:hideMark/>
          </w:tcPr>
          <w:p w14:paraId="361E3203" w14:textId="77777777" w:rsidR="002C634A" w:rsidRDefault="002C634A">
            <w:pPr>
              <w:jc w:val="center"/>
              <w:rPr>
                <w:rFonts w:cs="Calibri"/>
                <w:color w:val="000000"/>
              </w:rPr>
            </w:pPr>
            <w:r>
              <w:rPr>
                <w:rFonts w:cs="Calibri"/>
                <w:color w:val="000000"/>
              </w:rPr>
              <w:t>-0,07</w:t>
            </w:r>
          </w:p>
        </w:tc>
        <w:tc>
          <w:tcPr>
            <w:tcW w:w="1320" w:type="dxa"/>
            <w:tcBorders>
              <w:top w:val="single" w:sz="4" w:space="0" w:color="auto"/>
              <w:left w:val="single" w:sz="4" w:space="0" w:color="auto"/>
              <w:bottom w:val="single" w:sz="4" w:space="0" w:color="auto"/>
              <w:right w:val="single" w:sz="4" w:space="0" w:color="auto"/>
            </w:tcBorders>
            <w:shd w:val="clear" w:color="000000" w:fill="FEFBFB"/>
            <w:noWrap/>
            <w:vAlign w:val="bottom"/>
            <w:hideMark/>
          </w:tcPr>
          <w:p w14:paraId="3F71694B" w14:textId="77777777" w:rsidR="002C634A" w:rsidRDefault="002C634A">
            <w:pPr>
              <w:jc w:val="center"/>
              <w:rPr>
                <w:rFonts w:cs="Calibri"/>
                <w:color w:val="000000"/>
              </w:rPr>
            </w:pPr>
            <w:r>
              <w:rPr>
                <w:rFonts w:cs="Calibri"/>
                <w:color w:val="000000"/>
              </w:rPr>
              <w:t>-0,02</w:t>
            </w:r>
          </w:p>
        </w:tc>
        <w:tc>
          <w:tcPr>
            <w:tcW w:w="1670" w:type="dxa"/>
            <w:tcBorders>
              <w:top w:val="single" w:sz="4" w:space="0" w:color="auto"/>
              <w:left w:val="single" w:sz="4" w:space="0" w:color="auto"/>
              <w:bottom w:val="single" w:sz="4" w:space="0" w:color="auto"/>
              <w:right w:val="single" w:sz="8" w:space="0" w:color="auto"/>
            </w:tcBorders>
            <w:shd w:val="clear" w:color="000000" w:fill="FBFFFB"/>
            <w:noWrap/>
            <w:vAlign w:val="bottom"/>
            <w:hideMark/>
          </w:tcPr>
          <w:p w14:paraId="7CE131AB" w14:textId="77777777" w:rsidR="002C634A" w:rsidRDefault="002C634A">
            <w:pPr>
              <w:jc w:val="center"/>
              <w:rPr>
                <w:rFonts w:cs="Calibri"/>
                <w:color w:val="000000"/>
              </w:rPr>
            </w:pPr>
            <w:r>
              <w:rPr>
                <w:rFonts w:cs="Calibri"/>
                <w:color w:val="000000"/>
              </w:rPr>
              <w:t>0,02</w:t>
            </w:r>
          </w:p>
        </w:tc>
      </w:tr>
      <w:tr w:rsidR="002C634A" w14:paraId="506E53CB" w14:textId="77777777" w:rsidTr="00783419">
        <w:trPr>
          <w:gridAfter w:val="1"/>
          <w:wAfter w:w="425" w:type="dxa"/>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0E37796C" w14:textId="77777777" w:rsidR="002C634A" w:rsidRDefault="002C634A">
            <w:pPr>
              <w:rPr>
                <w:rFonts w:cs="Calibri"/>
                <w:color w:val="000000"/>
              </w:rPr>
            </w:pPr>
            <w:r>
              <w:rPr>
                <w:rFonts w:cs="Calibri"/>
                <w:color w:val="000000"/>
              </w:rPr>
              <w:t>OCDS</w:t>
            </w:r>
          </w:p>
        </w:tc>
        <w:tc>
          <w:tcPr>
            <w:tcW w:w="2040" w:type="dxa"/>
            <w:tcBorders>
              <w:top w:val="single" w:sz="4" w:space="0" w:color="auto"/>
              <w:left w:val="single" w:sz="8" w:space="0" w:color="auto"/>
              <w:bottom w:val="single" w:sz="4" w:space="0" w:color="auto"/>
              <w:right w:val="single" w:sz="4" w:space="0" w:color="auto"/>
            </w:tcBorders>
            <w:shd w:val="clear" w:color="000000" w:fill="FEE9EA"/>
            <w:noWrap/>
            <w:vAlign w:val="bottom"/>
            <w:hideMark/>
          </w:tcPr>
          <w:p w14:paraId="0139EBB8" w14:textId="77777777" w:rsidR="002C634A" w:rsidRDefault="002C634A">
            <w:pPr>
              <w:jc w:val="center"/>
              <w:rPr>
                <w:rFonts w:cs="Calibri"/>
                <w:color w:val="000000"/>
              </w:rPr>
            </w:pPr>
            <w:r>
              <w:rPr>
                <w:rFonts w:cs="Calibri"/>
                <w:color w:val="000000"/>
              </w:rPr>
              <w:t>-0,09</w:t>
            </w:r>
          </w:p>
        </w:tc>
        <w:tc>
          <w:tcPr>
            <w:tcW w:w="1320" w:type="dxa"/>
            <w:tcBorders>
              <w:top w:val="single" w:sz="4" w:space="0" w:color="auto"/>
              <w:left w:val="single" w:sz="4" w:space="0" w:color="auto"/>
              <w:bottom w:val="single" w:sz="4" w:space="0" w:color="auto"/>
              <w:right w:val="single" w:sz="4" w:space="0" w:color="auto"/>
            </w:tcBorders>
            <w:shd w:val="clear" w:color="000000" w:fill="FEFFFE"/>
            <w:noWrap/>
            <w:vAlign w:val="bottom"/>
            <w:hideMark/>
          </w:tcPr>
          <w:p w14:paraId="2614B043" w14:textId="77777777" w:rsidR="002C634A" w:rsidRDefault="002C634A">
            <w:pPr>
              <w:jc w:val="center"/>
              <w:rPr>
                <w:rFonts w:cs="Calibri"/>
                <w:color w:val="000000"/>
              </w:rPr>
            </w:pPr>
            <w:r>
              <w:rPr>
                <w:rFonts w:cs="Calibri"/>
                <w:color w:val="000000"/>
              </w:rPr>
              <w:t>0,01</w:t>
            </w:r>
          </w:p>
        </w:tc>
        <w:tc>
          <w:tcPr>
            <w:tcW w:w="1670" w:type="dxa"/>
            <w:tcBorders>
              <w:top w:val="single" w:sz="4" w:space="0" w:color="auto"/>
              <w:left w:val="single" w:sz="4" w:space="0" w:color="auto"/>
              <w:bottom w:val="single" w:sz="4" w:space="0" w:color="auto"/>
              <w:right w:val="single" w:sz="8" w:space="0" w:color="auto"/>
            </w:tcBorders>
            <w:shd w:val="clear" w:color="000000" w:fill="F7FFF7"/>
            <w:noWrap/>
            <w:vAlign w:val="bottom"/>
            <w:hideMark/>
          </w:tcPr>
          <w:p w14:paraId="02BAB996" w14:textId="77777777" w:rsidR="002C634A" w:rsidRDefault="002C634A">
            <w:pPr>
              <w:jc w:val="center"/>
              <w:rPr>
                <w:rFonts w:cs="Calibri"/>
                <w:color w:val="000000"/>
              </w:rPr>
            </w:pPr>
            <w:r>
              <w:rPr>
                <w:rFonts w:cs="Calibri"/>
                <w:color w:val="000000"/>
              </w:rPr>
              <w:t>0,04</w:t>
            </w:r>
          </w:p>
        </w:tc>
      </w:tr>
      <w:tr w:rsidR="002C634A" w14:paraId="0EC5CE45" w14:textId="77777777" w:rsidTr="00783419">
        <w:trPr>
          <w:gridAfter w:val="1"/>
          <w:wAfter w:w="425" w:type="dxa"/>
          <w:trHeight w:val="340"/>
        </w:trPr>
        <w:tc>
          <w:tcPr>
            <w:tcW w:w="2200" w:type="dxa"/>
            <w:tcBorders>
              <w:top w:val="nil"/>
              <w:left w:val="single" w:sz="8" w:space="0" w:color="auto"/>
              <w:bottom w:val="single" w:sz="8" w:space="0" w:color="auto"/>
              <w:right w:val="single" w:sz="8" w:space="0" w:color="auto"/>
            </w:tcBorders>
            <w:shd w:val="clear" w:color="auto" w:fill="auto"/>
            <w:noWrap/>
            <w:vAlign w:val="bottom"/>
            <w:hideMark/>
          </w:tcPr>
          <w:p w14:paraId="33917FF5" w14:textId="77777777" w:rsidR="002C634A" w:rsidRDefault="002C634A">
            <w:pPr>
              <w:rPr>
                <w:rFonts w:cs="Calibri"/>
                <w:color w:val="000000"/>
              </w:rPr>
            </w:pPr>
            <w:r>
              <w:rPr>
                <w:rFonts w:cs="Calibri"/>
                <w:color w:val="000000"/>
              </w:rPr>
              <w:t>Alcohol intake (kg)</w:t>
            </w:r>
          </w:p>
        </w:tc>
        <w:tc>
          <w:tcPr>
            <w:tcW w:w="2040" w:type="dxa"/>
            <w:tcBorders>
              <w:top w:val="single" w:sz="4" w:space="0" w:color="auto"/>
              <w:left w:val="single" w:sz="8" w:space="0" w:color="auto"/>
              <w:bottom w:val="single" w:sz="8" w:space="0" w:color="auto"/>
              <w:right w:val="single" w:sz="4" w:space="0" w:color="auto"/>
            </w:tcBorders>
            <w:shd w:val="clear" w:color="000000" w:fill="FEF8F8"/>
            <w:noWrap/>
            <w:vAlign w:val="bottom"/>
            <w:hideMark/>
          </w:tcPr>
          <w:p w14:paraId="6FE6ADB2" w14:textId="77777777" w:rsidR="002C634A" w:rsidRDefault="002C634A">
            <w:pPr>
              <w:jc w:val="center"/>
              <w:rPr>
                <w:rFonts w:cs="Calibri"/>
                <w:color w:val="000000"/>
              </w:rPr>
            </w:pPr>
            <w:r>
              <w:rPr>
                <w:rFonts w:cs="Calibri"/>
                <w:color w:val="000000"/>
              </w:rPr>
              <w:t>-0,03</w:t>
            </w:r>
          </w:p>
        </w:tc>
        <w:tc>
          <w:tcPr>
            <w:tcW w:w="1320" w:type="dxa"/>
            <w:tcBorders>
              <w:top w:val="single" w:sz="4" w:space="0" w:color="auto"/>
              <w:left w:val="single" w:sz="4" w:space="0" w:color="auto"/>
              <w:bottom w:val="single" w:sz="8" w:space="0" w:color="auto"/>
              <w:right w:val="single" w:sz="4" w:space="0" w:color="auto"/>
            </w:tcBorders>
            <w:shd w:val="clear" w:color="000000" w:fill="FEEAEA"/>
            <w:noWrap/>
            <w:vAlign w:val="bottom"/>
            <w:hideMark/>
          </w:tcPr>
          <w:p w14:paraId="7FA281BE" w14:textId="77777777" w:rsidR="002C634A" w:rsidRDefault="002C634A">
            <w:pPr>
              <w:jc w:val="center"/>
              <w:rPr>
                <w:rFonts w:cs="Calibri"/>
                <w:color w:val="000000"/>
              </w:rPr>
            </w:pPr>
            <w:r>
              <w:rPr>
                <w:rFonts w:cs="Calibri"/>
                <w:color w:val="000000"/>
              </w:rPr>
              <w:t>-0,08</w:t>
            </w:r>
          </w:p>
        </w:tc>
        <w:tc>
          <w:tcPr>
            <w:tcW w:w="1670" w:type="dxa"/>
            <w:tcBorders>
              <w:top w:val="single" w:sz="4" w:space="0" w:color="auto"/>
              <w:left w:val="single" w:sz="4" w:space="0" w:color="auto"/>
              <w:bottom w:val="single" w:sz="8" w:space="0" w:color="auto"/>
              <w:right w:val="single" w:sz="8" w:space="0" w:color="auto"/>
            </w:tcBorders>
            <w:shd w:val="clear" w:color="000000" w:fill="D4FFD1"/>
            <w:noWrap/>
            <w:vAlign w:val="bottom"/>
            <w:hideMark/>
          </w:tcPr>
          <w:p w14:paraId="18584E70" w14:textId="77777777" w:rsidR="002C634A" w:rsidRDefault="002C634A">
            <w:pPr>
              <w:jc w:val="center"/>
              <w:rPr>
                <w:rFonts w:cs="Calibri"/>
                <w:color w:val="000000"/>
              </w:rPr>
            </w:pPr>
            <w:r>
              <w:rPr>
                <w:rFonts w:cs="Calibri"/>
                <w:color w:val="000000"/>
              </w:rPr>
              <w:t>0,20</w:t>
            </w:r>
          </w:p>
        </w:tc>
      </w:tr>
    </w:tbl>
    <w:p w14:paraId="2D36EDF6" w14:textId="5E64C2F7" w:rsidR="009B7B32" w:rsidRDefault="009B7B32" w:rsidP="009B7B32">
      <w:pPr>
        <w:spacing w:line="480" w:lineRule="auto"/>
        <w:rPr>
          <w:sz w:val="22"/>
          <w:szCs w:val="22"/>
        </w:rPr>
      </w:pPr>
    </w:p>
    <w:p w14:paraId="04789F0A" w14:textId="77DE885C" w:rsidR="00DE27D1" w:rsidRDefault="00DE27D1" w:rsidP="00CF07D0">
      <w:pPr>
        <w:spacing w:line="360" w:lineRule="auto"/>
        <w:rPr>
          <w:sz w:val="22"/>
          <w:szCs w:val="22"/>
        </w:rPr>
      </w:pPr>
      <w:r w:rsidRPr="00DE27D1">
        <w:rPr>
          <w:b/>
          <w:bCs/>
          <w:sz w:val="22"/>
          <w:szCs w:val="22"/>
        </w:rPr>
        <w:t>Suppl table</w:t>
      </w:r>
      <w:r>
        <w:rPr>
          <w:b/>
          <w:bCs/>
          <w:sz w:val="22"/>
          <w:szCs w:val="22"/>
        </w:rPr>
        <w:t xml:space="preserve"> 7</w:t>
      </w:r>
      <w:r w:rsidRPr="00DE27D1">
        <w:rPr>
          <w:sz w:val="22"/>
          <w:szCs w:val="22"/>
        </w:rPr>
        <w:t>: Correlation between various clinical measures and neural activity during</w:t>
      </w:r>
      <w:r w:rsidRPr="00DE27D1">
        <w:t xml:space="preserve"> </w:t>
      </w:r>
      <w:r w:rsidRPr="00DE27D1">
        <w:rPr>
          <w:sz w:val="22"/>
          <w:szCs w:val="22"/>
        </w:rPr>
        <w:t>Monetary reward anticipation (big &gt; small) in the three striatal ROIs</w:t>
      </w:r>
      <w:r>
        <w:rPr>
          <w:sz w:val="22"/>
          <w:szCs w:val="22"/>
        </w:rPr>
        <w:t xml:space="preserve"> in GD (study 2)</w:t>
      </w:r>
      <w:r w:rsidR="00E937A5">
        <w:rPr>
          <w:sz w:val="22"/>
          <w:szCs w:val="22"/>
        </w:rPr>
        <w:t>. Values represent Pearson correlation coefficients (r).</w:t>
      </w:r>
    </w:p>
    <w:tbl>
      <w:tblPr>
        <w:tblW w:w="7655" w:type="dxa"/>
        <w:tblLook w:val="04A0" w:firstRow="1" w:lastRow="0" w:firstColumn="1" w:lastColumn="0" w:noHBand="0" w:noVBand="1"/>
      </w:tblPr>
      <w:tblGrid>
        <w:gridCol w:w="2200"/>
        <w:gridCol w:w="2040"/>
        <w:gridCol w:w="1572"/>
        <w:gridCol w:w="1843"/>
      </w:tblGrid>
      <w:tr w:rsidR="001A51B9" w:rsidRPr="001A51B9" w14:paraId="2EBFCEF7" w14:textId="77777777" w:rsidTr="00783419">
        <w:trPr>
          <w:trHeight w:val="320"/>
        </w:trPr>
        <w:tc>
          <w:tcPr>
            <w:tcW w:w="2200" w:type="dxa"/>
            <w:tcBorders>
              <w:top w:val="nil"/>
              <w:left w:val="nil"/>
              <w:bottom w:val="nil"/>
              <w:right w:val="nil"/>
            </w:tcBorders>
            <w:shd w:val="clear" w:color="auto" w:fill="auto"/>
            <w:noWrap/>
            <w:vAlign w:val="bottom"/>
            <w:hideMark/>
          </w:tcPr>
          <w:p w14:paraId="0F80938C" w14:textId="77777777" w:rsidR="001A51B9" w:rsidRPr="001A51B9" w:rsidRDefault="001A51B9" w:rsidP="001A51B9">
            <w:pPr>
              <w:rPr>
                <w:rFonts w:ascii="Times New Roman" w:eastAsia="Times New Roman" w:hAnsi="Times New Roman"/>
                <w:sz w:val="20"/>
                <w:szCs w:val="20"/>
                <w:lang w:eastAsia="en-GB"/>
              </w:rPr>
            </w:pPr>
          </w:p>
        </w:tc>
        <w:tc>
          <w:tcPr>
            <w:tcW w:w="2040" w:type="dxa"/>
            <w:tcBorders>
              <w:top w:val="nil"/>
              <w:left w:val="nil"/>
              <w:bottom w:val="nil"/>
              <w:right w:val="nil"/>
            </w:tcBorders>
            <w:shd w:val="clear" w:color="auto" w:fill="auto"/>
            <w:noWrap/>
            <w:vAlign w:val="bottom"/>
            <w:hideMark/>
          </w:tcPr>
          <w:p w14:paraId="52A90CB8" w14:textId="77777777" w:rsidR="001A51B9" w:rsidRPr="001A51B9" w:rsidRDefault="001A51B9" w:rsidP="001A51B9">
            <w:pPr>
              <w:rPr>
                <w:rFonts w:ascii="Times New Roman" w:eastAsia="Times New Roman" w:hAnsi="Times New Roman"/>
                <w:sz w:val="20"/>
                <w:szCs w:val="20"/>
                <w:lang w:eastAsia="en-GB"/>
              </w:rPr>
            </w:pPr>
          </w:p>
        </w:tc>
        <w:tc>
          <w:tcPr>
            <w:tcW w:w="1572" w:type="dxa"/>
            <w:tcBorders>
              <w:top w:val="nil"/>
              <w:left w:val="nil"/>
              <w:bottom w:val="nil"/>
              <w:right w:val="nil"/>
            </w:tcBorders>
            <w:shd w:val="clear" w:color="auto" w:fill="auto"/>
            <w:noWrap/>
            <w:vAlign w:val="bottom"/>
            <w:hideMark/>
          </w:tcPr>
          <w:p w14:paraId="3A59C4CA" w14:textId="77777777" w:rsidR="001A51B9" w:rsidRPr="001A51B9" w:rsidRDefault="001A51B9" w:rsidP="001A51B9">
            <w:pPr>
              <w:jc w:val="center"/>
              <w:rPr>
                <w:rFonts w:ascii="Times New Roman" w:eastAsia="Times New Roman" w:hAnsi="Times New Roman"/>
                <w:sz w:val="20"/>
                <w:szCs w:val="20"/>
                <w:lang w:eastAsia="en-GB"/>
              </w:rPr>
            </w:pPr>
          </w:p>
        </w:tc>
        <w:tc>
          <w:tcPr>
            <w:tcW w:w="1843" w:type="dxa"/>
            <w:tcBorders>
              <w:top w:val="nil"/>
              <w:left w:val="nil"/>
              <w:bottom w:val="nil"/>
              <w:right w:val="nil"/>
            </w:tcBorders>
            <w:shd w:val="clear" w:color="auto" w:fill="auto"/>
            <w:noWrap/>
            <w:vAlign w:val="bottom"/>
            <w:hideMark/>
          </w:tcPr>
          <w:p w14:paraId="20DF39F9" w14:textId="77777777" w:rsidR="001A51B9" w:rsidRPr="001A51B9" w:rsidRDefault="001A51B9" w:rsidP="001A51B9">
            <w:pPr>
              <w:jc w:val="center"/>
              <w:rPr>
                <w:rFonts w:ascii="Times New Roman" w:eastAsia="Times New Roman" w:hAnsi="Times New Roman"/>
                <w:sz w:val="20"/>
                <w:szCs w:val="20"/>
                <w:lang w:eastAsia="en-GB"/>
              </w:rPr>
            </w:pPr>
          </w:p>
        </w:tc>
      </w:tr>
      <w:tr w:rsidR="001A51B9" w:rsidRPr="001A51B9" w14:paraId="7307ABE1" w14:textId="77777777" w:rsidTr="00783419">
        <w:trPr>
          <w:trHeight w:val="340"/>
        </w:trPr>
        <w:tc>
          <w:tcPr>
            <w:tcW w:w="2200" w:type="dxa"/>
            <w:tcBorders>
              <w:top w:val="nil"/>
              <w:left w:val="nil"/>
              <w:bottom w:val="nil"/>
              <w:right w:val="nil"/>
            </w:tcBorders>
            <w:shd w:val="clear" w:color="auto" w:fill="auto"/>
            <w:noWrap/>
            <w:vAlign w:val="bottom"/>
            <w:hideMark/>
          </w:tcPr>
          <w:p w14:paraId="0F73947A" w14:textId="77777777" w:rsidR="001A51B9" w:rsidRPr="001A51B9" w:rsidRDefault="001A51B9" w:rsidP="001A51B9">
            <w:pPr>
              <w:jc w:val="center"/>
              <w:rPr>
                <w:rFonts w:ascii="Times New Roman" w:eastAsia="Times New Roman" w:hAnsi="Times New Roman"/>
                <w:sz w:val="20"/>
                <w:szCs w:val="20"/>
                <w:lang w:eastAsia="en-GB"/>
              </w:rPr>
            </w:pPr>
          </w:p>
        </w:tc>
        <w:tc>
          <w:tcPr>
            <w:tcW w:w="5455" w:type="dxa"/>
            <w:gridSpan w:val="3"/>
            <w:tcBorders>
              <w:top w:val="nil"/>
              <w:left w:val="nil"/>
              <w:bottom w:val="nil"/>
              <w:right w:val="nil"/>
            </w:tcBorders>
            <w:shd w:val="clear" w:color="auto" w:fill="auto"/>
            <w:noWrap/>
            <w:vAlign w:val="bottom"/>
            <w:hideMark/>
          </w:tcPr>
          <w:p w14:paraId="6013CF61" w14:textId="7967CC61" w:rsidR="001A51B9" w:rsidRPr="001A51B9" w:rsidRDefault="009423D5" w:rsidP="001A51B9">
            <w:pPr>
              <w:rPr>
                <w:rFonts w:eastAsia="Times New Roman" w:cs="Calibri"/>
                <w:b/>
                <w:bCs/>
                <w:lang w:eastAsia="en-GB"/>
              </w:rPr>
            </w:pPr>
            <w:r w:rsidRPr="00783419">
              <w:rPr>
                <w:rFonts w:eastAsia="Times New Roman" w:cs="Calibri"/>
                <w:b/>
                <w:bCs/>
                <w:lang w:eastAsia="en-GB"/>
              </w:rPr>
              <w:t xml:space="preserve">PG: </w:t>
            </w:r>
            <w:r w:rsidR="001A51B9" w:rsidRPr="001A51B9">
              <w:rPr>
                <w:rFonts w:eastAsia="Times New Roman" w:cs="Calibri"/>
                <w:b/>
                <w:bCs/>
                <w:lang w:eastAsia="en-GB"/>
              </w:rPr>
              <w:t xml:space="preserve">Monetary reward anticipation (big &gt; small) </w:t>
            </w:r>
          </w:p>
        </w:tc>
      </w:tr>
      <w:tr w:rsidR="001A51B9" w:rsidRPr="001A51B9" w14:paraId="52BAF37F" w14:textId="77777777" w:rsidTr="00783419">
        <w:trPr>
          <w:trHeight w:val="360"/>
        </w:trPr>
        <w:tc>
          <w:tcPr>
            <w:tcW w:w="2200" w:type="dxa"/>
            <w:tcBorders>
              <w:top w:val="nil"/>
              <w:left w:val="nil"/>
              <w:bottom w:val="nil"/>
              <w:right w:val="nil"/>
            </w:tcBorders>
            <w:shd w:val="clear" w:color="auto" w:fill="auto"/>
            <w:noWrap/>
            <w:vAlign w:val="bottom"/>
            <w:hideMark/>
          </w:tcPr>
          <w:p w14:paraId="0859C94F" w14:textId="77777777" w:rsidR="001A51B9" w:rsidRPr="001A51B9" w:rsidRDefault="001A51B9" w:rsidP="001A51B9">
            <w:pPr>
              <w:rPr>
                <w:rFonts w:eastAsia="Times New Roman" w:cs="Calibri"/>
                <w:b/>
                <w:bCs/>
                <w:lang w:eastAsia="en-GB"/>
              </w:rPr>
            </w:pPr>
          </w:p>
        </w:tc>
        <w:tc>
          <w:tcPr>
            <w:tcW w:w="2040" w:type="dxa"/>
            <w:tcBorders>
              <w:top w:val="single" w:sz="8" w:space="0" w:color="auto"/>
              <w:left w:val="single" w:sz="8" w:space="0" w:color="auto"/>
              <w:bottom w:val="nil"/>
              <w:right w:val="nil"/>
            </w:tcBorders>
            <w:shd w:val="clear" w:color="auto" w:fill="auto"/>
            <w:vAlign w:val="bottom"/>
            <w:hideMark/>
          </w:tcPr>
          <w:p w14:paraId="778C84D5"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Ventral Striatum</w:t>
            </w:r>
          </w:p>
        </w:tc>
        <w:tc>
          <w:tcPr>
            <w:tcW w:w="1572" w:type="dxa"/>
            <w:tcBorders>
              <w:top w:val="single" w:sz="8" w:space="0" w:color="auto"/>
              <w:left w:val="single" w:sz="8" w:space="0" w:color="auto"/>
              <w:bottom w:val="nil"/>
              <w:right w:val="single" w:sz="8" w:space="0" w:color="auto"/>
            </w:tcBorders>
            <w:shd w:val="clear" w:color="auto" w:fill="auto"/>
            <w:vAlign w:val="bottom"/>
            <w:hideMark/>
          </w:tcPr>
          <w:p w14:paraId="64D0D4DD"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Caudate</w:t>
            </w:r>
          </w:p>
        </w:tc>
        <w:tc>
          <w:tcPr>
            <w:tcW w:w="1843" w:type="dxa"/>
            <w:tcBorders>
              <w:top w:val="single" w:sz="8" w:space="0" w:color="auto"/>
              <w:left w:val="nil"/>
              <w:bottom w:val="nil"/>
              <w:right w:val="single" w:sz="8" w:space="0" w:color="auto"/>
            </w:tcBorders>
            <w:shd w:val="clear" w:color="auto" w:fill="auto"/>
            <w:vAlign w:val="bottom"/>
            <w:hideMark/>
          </w:tcPr>
          <w:p w14:paraId="3A831B4C"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Putamen</w:t>
            </w:r>
          </w:p>
        </w:tc>
      </w:tr>
      <w:tr w:rsidR="001A51B9" w:rsidRPr="001A51B9" w14:paraId="4DD2C792" w14:textId="77777777" w:rsidTr="00783419">
        <w:trPr>
          <w:trHeight w:val="320"/>
        </w:trPr>
        <w:tc>
          <w:tcPr>
            <w:tcW w:w="2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691C3483" w14:textId="77777777" w:rsidR="001A51B9" w:rsidRPr="001A51B9" w:rsidRDefault="001A51B9" w:rsidP="001A51B9">
            <w:pPr>
              <w:rPr>
                <w:rFonts w:eastAsia="Times New Roman" w:cs="Calibri"/>
                <w:lang w:eastAsia="en-GB"/>
              </w:rPr>
            </w:pPr>
            <w:r w:rsidRPr="001A51B9">
              <w:rPr>
                <w:rFonts w:eastAsia="Times New Roman" w:cs="Calibri"/>
                <w:lang w:eastAsia="en-GB"/>
              </w:rPr>
              <w:t>Gambling craving</w:t>
            </w:r>
          </w:p>
        </w:tc>
        <w:tc>
          <w:tcPr>
            <w:tcW w:w="2040" w:type="dxa"/>
            <w:tcBorders>
              <w:top w:val="single" w:sz="8" w:space="0" w:color="auto"/>
              <w:left w:val="single" w:sz="8" w:space="0" w:color="auto"/>
              <w:bottom w:val="single" w:sz="4" w:space="0" w:color="auto"/>
              <w:right w:val="single" w:sz="4" w:space="0" w:color="auto"/>
            </w:tcBorders>
            <w:shd w:val="clear" w:color="000000" w:fill="FEC6C8"/>
            <w:noWrap/>
            <w:vAlign w:val="bottom"/>
            <w:hideMark/>
          </w:tcPr>
          <w:p w14:paraId="7A177C93"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-0,22</w:t>
            </w:r>
          </w:p>
        </w:tc>
        <w:tc>
          <w:tcPr>
            <w:tcW w:w="1572" w:type="dxa"/>
            <w:tcBorders>
              <w:top w:val="single" w:sz="8" w:space="0" w:color="auto"/>
              <w:left w:val="single" w:sz="4" w:space="0" w:color="auto"/>
              <w:bottom w:val="single" w:sz="4" w:space="0" w:color="auto"/>
              <w:right w:val="single" w:sz="4" w:space="0" w:color="auto"/>
            </w:tcBorders>
            <w:shd w:val="clear" w:color="000000" w:fill="FEE4E5"/>
            <w:noWrap/>
            <w:vAlign w:val="bottom"/>
            <w:hideMark/>
          </w:tcPr>
          <w:p w14:paraId="7212FE53"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-0,11</w:t>
            </w:r>
          </w:p>
        </w:tc>
        <w:tc>
          <w:tcPr>
            <w:tcW w:w="1843" w:type="dxa"/>
            <w:tcBorders>
              <w:top w:val="single" w:sz="8" w:space="0" w:color="auto"/>
              <w:left w:val="single" w:sz="4" w:space="0" w:color="auto"/>
              <w:bottom w:val="single" w:sz="4" w:space="0" w:color="auto"/>
              <w:right w:val="single" w:sz="8" w:space="0" w:color="auto"/>
            </w:tcBorders>
            <w:shd w:val="clear" w:color="000000" w:fill="FED8D9"/>
            <w:noWrap/>
            <w:vAlign w:val="bottom"/>
            <w:hideMark/>
          </w:tcPr>
          <w:p w14:paraId="5DB397C8"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-0,15</w:t>
            </w:r>
          </w:p>
        </w:tc>
      </w:tr>
      <w:tr w:rsidR="001A51B9" w:rsidRPr="001A51B9" w14:paraId="3724CB05" w14:textId="77777777" w:rsidTr="00783419">
        <w:trPr>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2A3F05CE" w14:textId="77777777" w:rsidR="001A51B9" w:rsidRPr="001A51B9" w:rsidRDefault="001A51B9" w:rsidP="001A51B9">
            <w:pPr>
              <w:rPr>
                <w:rFonts w:eastAsia="Times New Roman" w:cs="Calibri"/>
                <w:lang w:eastAsia="en-GB"/>
              </w:rPr>
            </w:pPr>
            <w:r w:rsidRPr="001A51B9">
              <w:rPr>
                <w:rFonts w:eastAsia="Times New Roman" w:cs="Calibri"/>
                <w:lang w:eastAsia="en-GB"/>
              </w:rPr>
              <w:t xml:space="preserve">GD severity </w:t>
            </w:r>
          </w:p>
        </w:tc>
        <w:tc>
          <w:tcPr>
            <w:tcW w:w="2040" w:type="dxa"/>
            <w:tcBorders>
              <w:top w:val="single" w:sz="4" w:space="0" w:color="auto"/>
              <w:left w:val="single" w:sz="8" w:space="0" w:color="auto"/>
              <w:bottom w:val="single" w:sz="4" w:space="0" w:color="auto"/>
              <w:right w:val="single" w:sz="4" w:space="0" w:color="auto"/>
            </w:tcBorders>
            <w:shd w:val="clear" w:color="000000" w:fill="FEEFEF"/>
            <w:noWrap/>
            <w:vAlign w:val="bottom"/>
            <w:hideMark/>
          </w:tcPr>
          <w:p w14:paraId="4ECE7A8A"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-0,06</w:t>
            </w:r>
          </w:p>
        </w:tc>
        <w:tc>
          <w:tcPr>
            <w:tcW w:w="1572" w:type="dxa"/>
            <w:tcBorders>
              <w:top w:val="single" w:sz="4" w:space="0" w:color="auto"/>
              <w:left w:val="single" w:sz="4" w:space="0" w:color="auto"/>
              <w:bottom w:val="single" w:sz="4" w:space="0" w:color="auto"/>
              <w:right w:val="single" w:sz="4" w:space="0" w:color="auto"/>
            </w:tcBorders>
            <w:shd w:val="clear" w:color="000000" w:fill="FEC7C9"/>
            <w:noWrap/>
            <w:vAlign w:val="bottom"/>
            <w:hideMark/>
          </w:tcPr>
          <w:p w14:paraId="623FDDA4"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-0,22</w:t>
            </w:r>
          </w:p>
        </w:tc>
        <w:tc>
          <w:tcPr>
            <w:tcW w:w="1843" w:type="dxa"/>
            <w:tcBorders>
              <w:top w:val="single" w:sz="4" w:space="0" w:color="auto"/>
              <w:left w:val="single" w:sz="4" w:space="0" w:color="auto"/>
              <w:bottom w:val="single" w:sz="4" w:space="0" w:color="auto"/>
              <w:right w:val="single" w:sz="8" w:space="0" w:color="auto"/>
            </w:tcBorders>
            <w:shd w:val="clear" w:color="000000" w:fill="FDBFC0"/>
            <w:noWrap/>
            <w:vAlign w:val="bottom"/>
            <w:hideMark/>
          </w:tcPr>
          <w:p w14:paraId="4726D0CB"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-0,25</w:t>
            </w:r>
          </w:p>
        </w:tc>
      </w:tr>
      <w:tr w:rsidR="001A51B9" w:rsidRPr="001A51B9" w14:paraId="58F0FF36" w14:textId="77777777" w:rsidTr="00783419">
        <w:trPr>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198D5F67" w14:textId="77777777" w:rsidR="001A51B9" w:rsidRPr="001A51B9" w:rsidRDefault="001A51B9" w:rsidP="001A51B9">
            <w:pPr>
              <w:rPr>
                <w:rFonts w:eastAsia="Times New Roman" w:cs="Calibri"/>
                <w:lang w:eastAsia="en-GB"/>
              </w:rPr>
            </w:pPr>
            <w:r w:rsidRPr="001A51B9">
              <w:rPr>
                <w:rFonts w:eastAsia="Times New Roman" w:cs="Calibri"/>
                <w:lang w:eastAsia="en-GB"/>
              </w:rPr>
              <w:t xml:space="preserve">GD duration </w:t>
            </w:r>
          </w:p>
        </w:tc>
        <w:tc>
          <w:tcPr>
            <w:tcW w:w="2040" w:type="dxa"/>
            <w:tcBorders>
              <w:top w:val="single" w:sz="4" w:space="0" w:color="auto"/>
              <w:left w:val="single" w:sz="8" w:space="0" w:color="auto"/>
              <w:bottom w:val="single" w:sz="4" w:space="0" w:color="auto"/>
              <w:right w:val="single" w:sz="4" w:space="0" w:color="auto"/>
            </w:tcBorders>
            <w:shd w:val="clear" w:color="000000" w:fill="FECBCC"/>
            <w:noWrap/>
            <w:vAlign w:val="bottom"/>
            <w:hideMark/>
          </w:tcPr>
          <w:p w14:paraId="5F91AB10"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-0,21</w:t>
            </w:r>
          </w:p>
        </w:tc>
        <w:tc>
          <w:tcPr>
            <w:tcW w:w="1572" w:type="dxa"/>
            <w:tcBorders>
              <w:top w:val="single" w:sz="4" w:space="0" w:color="auto"/>
              <w:left w:val="single" w:sz="4" w:space="0" w:color="auto"/>
              <w:bottom w:val="single" w:sz="4" w:space="0" w:color="auto"/>
              <w:right w:val="single" w:sz="4" w:space="0" w:color="auto"/>
            </w:tcBorders>
            <w:shd w:val="clear" w:color="000000" w:fill="FEF7F8"/>
            <w:noWrap/>
            <w:vAlign w:val="bottom"/>
            <w:hideMark/>
          </w:tcPr>
          <w:p w14:paraId="725C6AF0"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-0,03</w:t>
            </w:r>
          </w:p>
        </w:tc>
        <w:tc>
          <w:tcPr>
            <w:tcW w:w="1843" w:type="dxa"/>
            <w:tcBorders>
              <w:top w:val="single" w:sz="4" w:space="0" w:color="auto"/>
              <w:left w:val="single" w:sz="4" w:space="0" w:color="auto"/>
              <w:bottom w:val="single" w:sz="4" w:space="0" w:color="auto"/>
              <w:right w:val="single" w:sz="8" w:space="0" w:color="auto"/>
            </w:tcBorders>
            <w:shd w:val="clear" w:color="000000" w:fill="E2FFE0"/>
            <w:noWrap/>
            <w:vAlign w:val="bottom"/>
            <w:hideMark/>
          </w:tcPr>
          <w:p w14:paraId="5E7F6921"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0,13</w:t>
            </w:r>
          </w:p>
        </w:tc>
      </w:tr>
      <w:tr w:rsidR="001A51B9" w:rsidRPr="001A51B9" w14:paraId="7610C74E" w14:textId="77777777" w:rsidTr="00783419">
        <w:trPr>
          <w:trHeight w:val="340"/>
        </w:trPr>
        <w:tc>
          <w:tcPr>
            <w:tcW w:w="2200" w:type="dxa"/>
            <w:tcBorders>
              <w:top w:val="nil"/>
              <w:left w:val="single" w:sz="8" w:space="0" w:color="auto"/>
              <w:bottom w:val="single" w:sz="8" w:space="0" w:color="auto"/>
              <w:right w:val="single" w:sz="8" w:space="0" w:color="auto"/>
            </w:tcBorders>
            <w:shd w:val="clear" w:color="auto" w:fill="auto"/>
            <w:noWrap/>
            <w:vAlign w:val="bottom"/>
            <w:hideMark/>
          </w:tcPr>
          <w:p w14:paraId="307BADDC" w14:textId="77777777" w:rsidR="001A51B9" w:rsidRPr="001A51B9" w:rsidRDefault="001A51B9" w:rsidP="001A51B9">
            <w:pPr>
              <w:rPr>
                <w:rFonts w:eastAsia="Times New Roman" w:cs="Calibri"/>
                <w:lang w:eastAsia="en-GB"/>
              </w:rPr>
            </w:pPr>
            <w:r w:rsidRPr="001A51B9">
              <w:rPr>
                <w:rFonts w:eastAsia="Times New Roman" w:cs="Calibri"/>
                <w:lang w:eastAsia="en-GB"/>
              </w:rPr>
              <w:t>Abstinence</w:t>
            </w:r>
          </w:p>
        </w:tc>
        <w:tc>
          <w:tcPr>
            <w:tcW w:w="2040" w:type="dxa"/>
            <w:tcBorders>
              <w:top w:val="single" w:sz="4" w:space="0" w:color="auto"/>
              <w:left w:val="single" w:sz="8" w:space="0" w:color="auto"/>
              <w:bottom w:val="single" w:sz="8" w:space="0" w:color="auto"/>
              <w:right w:val="single" w:sz="4" w:space="0" w:color="auto"/>
            </w:tcBorders>
            <w:shd w:val="clear" w:color="000000" w:fill="FD9FA2"/>
            <w:noWrap/>
            <w:vAlign w:val="bottom"/>
            <w:hideMark/>
          </w:tcPr>
          <w:p w14:paraId="13C99256"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-0,37</w:t>
            </w:r>
          </w:p>
        </w:tc>
        <w:tc>
          <w:tcPr>
            <w:tcW w:w="1572" w:type="dxa"/>
            <w:tcBorders>
              <w:top w:val="single" w:sz="4" w:space="0" w:color="auto"/>
              <w:left w:val="single" w:sz="4" w:space="0" w:color="auto"/>
              <w:bottom w:val="single" w:sz="8" w:space="0" w:color="auto"/>
              <w:right w:val="single" w:sz="4" w:space="0" w:color="auto"/>
            </w:tcBorders>
            <w:shd w:val="clear" w:color="000000" w:fill="FEC4C6"/>
            <w:noWrap/>
            <w:vAlign w:val="bottom"/>
            <w:hideMark/>
          </w:tcPr>
          <w:p w14:paraId="36FFB6AC"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-0,23</w:t>
            </w:r>
          </w:p>
        </w:tc>
        <w:tc>
          <w:tcPr>
            <w:tcW w:w="1843" w:type="dxa"/>
            <w:tcBorders>
              <w:top w:val="single" w:sz="4" w:space="0" w:color="auto"/>
              <w:left w:val="single" w:sz="4" w:space="0" w:color="auto"/>
              <w:bottom w:val="single" w:sz="8" w:space="0" w:color="auto"/>
              <w:right w:val="single" w:sz="8" w:space="0" w:color="auto"/>
            </w:tcBorders>
            <w:shd w:val="clear" w:color="000000" w:fill="FED2D3"/>
            <w:noWrap/>
            <w:vAlign w:val="bottom"/>
            <w:hideMark/>
          </w:tcPr>
          <w:p w14:paraId="0B0FBEA0" w14:textId="77777777" w:rsidR="001A51B9" w:rsidRPr="001A51B9" w:rsidRDefault="001A51B9" w:rsidP="001A51B9">
            <w:pPr>
              <w:jc w:val="center"/>
              <w:rPr>
                <w:rFonts w:eastAsia="Times New Roman" w:cs="Calibri"/>
                <w:lang w:eastAsia="en-GB"/>
              </w:rPr>
            </w:pPr>
            <w:r w:rsidRPr="001A51B9">
              <w:rPr>
                <w:rFonts w:eastAsia="Times New Roman" w:cs="Calibri"/>
                <w:lang w:eastAsia="en-GB"/>
              </w:rPr>
              <w:t>-0,18</w:t>
            </w:r>
          </w:p>
        </w:tc>
      </w:tr>
    </w:tbl>
    <w:p w14:paraId="576B2C96" w14:textId="77777777" w:rsidR="00DE27D1" w:rsidRDefault="00DE27D1" w:rsidP="00DE27D1">
      <w:pPr>
        <w:rPr>
          <w:b/>
          <w:bCs/>
          <w:sz w:val="22"/>
          <w:szCs w:val="22"/>
        </w:rPr>
      </w:pPr>
    </w:p>
    <w:p w14:paraId="60384DF7" w14:textId="180E6642" w:rsidR="00DE27D1" w:rsidRDefault="00DE27D1" w:rsidP="00CF07D0">
      <w:pPr>
        <w:spacing w:line="360" w:lineRule="auto"/>
        <w:rPr>
          <w:sz w:val="22"/>
          <w:szCs w:val="22"/>
        </w:rPr>
      </w:pPr>
      <w:r w:rsidRPr="00DE27D1">
        <w:rPr>
          <w:b/>
          <w:bCs/>
          <w:sz w:val="22"/>
          <w:szCs w:val="22"/>
        </w:rPr>
        <w:t xml:space="preserve">Suppl table </w:t>
      </w:r>
      <w:r>
        <w:rPr>
          <w:b/>
          <w:bCs/>
          <w:sz w:val="22"/>
          <w:szCs w:val="22"/>
        </w:rPr>
        <w:t>8</w:t>
      </w:r>
      <w:r w:rsidRPr="00DE27D1">
        <w:rPr>
          <w:sz w:val="22"/>
          <w:szCs w:val="22"/>
        </w:rPr>
        <w:t>: Correlation between various clinical measures and neural activity during</w:t>
      </w:r>
      <w:r w:rsidRPr="00DE27D1">
        <w:rPr>
          <w:rFonts w:eastAsia="Times New Roman" w:cs="Calibri"/>
          <w:lang w:eastAsia="en-GB"/>
        </w:rPr>
        <w:t xml:space="preserve"> </w:t>
      </w:r>
      <w:r w:rsidRPr="00DE27D1">
        <w:rPr>
          <w:sz w:val="22"/>
          <w:szCs w:val="22"/>
        </w:rPr>
        <w:t>c</w:t>
      </w:r>
      <w:r w:rsidRPr="009B7B32">
        <w:rPr>
          <w:sz w:val="22"/>
          <w:szCs w:val="22"/>
          <w:lang/>
        </w:rPr>
        <w:t>ue-reactivity (alcohol-related &gt; neutral cue)</w:t>
      </w:r>
      <w:r w:rsidRPr="00DE27D1">
        <w:rPr>
          <w:b/>
          <w:bCs/>
          <w:sz w:val="22"/>
          <w:szCs w:val="22"/>
        </w:rPr>
        <w:t xml:space="preserve"> </w:t>
      </w:r>
      <w:r>
        <w:rPr>
          <w:sz w:val="22"/>
          <w:szCs w:val="22"/>
        </w:rPr>
        <w:t xml:space="preserve">for </w:t>
      </w:r>
      <w:r w:rsidRPr="00DE27D1">
        <w:rPr>
          <w:sz w:val="22"/>
          <w:szCs w:val="22"/>
        </w:rPr>
        <w:t>the three striatal ROIs</w:t>
      </w:r>
      <w:r>
        <w:rPr>
          <w:sz w:val="22"/>
          <w:szCs w:val="22"/>
        </w:rPr>
        <w:t xml:space="preserve"> in GD (study 2)</w:t>
      </w:r>
      <w:r w:rsidR="00E937A5">
        <w:rPr>
          <w:sz w:val="22"/>
          <w:szCs w:val="22"/>
        </w:rPr>
        <w:t>. Values represent Pearson correlation coefficients (r).</w:t>
      </w:r>
    </w:p>
    <w:p w14:paraId="7B75BCFA" w14:textId="77777777" w:rsidR="00CF07D0" w:rsidRPr="00E9319E" w:rsidRDefault="00CF07D0" w:rsidP="00CF07D0">
      <w:pPr>
        <w:spacing w:line="360" w:lineRule="auto"/>
        <w:rPr>
          <w:sz w:val="22"/>
          <w:szCs w:val="22"/>
        </w:rPr>
      </w:pPr>
    </w:p>
    <w:tbl>
      <w:tblPr>
        <w:tblW w:w="7591" w:type="dxa"/>
        <w:tblLook w:val="04A0" w:firstRow="1" w:lastRow="0" w:firstColumn="1" w:lastColumn="0" w:noHBand="0" w:noVBand="1"/>
      </w:tblPr>
      <w:tblGrid>
        <w:gridCol w:w="2200"/>
        <w:gridCol w:w="2040"/>
        <w:gridCol w:w="1572"/>
        <w:gridCol w:w="1779"/>
      </w:tblGrid>
      <w:tr w:rsidR="001A51B9" w14:paraId="488C48B3" w14:textId="77777777" w:rsidTr="00783419">
        <w:trPr>
          <w:trHeight w:val="340"/>
        </w:trPr>
        <w:tc>
          <w:tcPr>
            <w:tcW w:w="2200" w:type="dxa"/>
            <w:tcBorders>
              <w:top w:val="nil"/>
              <w:left w:val="nil"/>
              <w:bottom w:val="nil"/>
              <w:right w:val="nil"/>
            </w:tcBorders>
            <w:shd w:val="clear" w:color="auto" w:fill="auto"/>
            <w:noWrap/>
            <w:vAlign w:val="bottom"/>
            <w:hideMark/>
          </w:tcPr>
          <w:p w14:paraId="6AECEDA6" w14:textId="77777777" w:rsidR="001A51B9" w:rsidRDefault="001A51B9">
            <w:pPr>
              <w:rPr>
                <w:sz w:val="20"/>
                <w:szCs w:val="20"/>
                <w:lang w:eastAsia="en-GB"/>
              </w:rPr>
            </w:pPr>
          </w:p>
        </w:tc>
        <w:tc>
          <w:tcPr>
            <w:tcW w:w="5391" w:type="dxa"/>
            <w:gridSpan w:val="3"/>
            <w:tcBorders>
              <w:top w:val="nil"/>
              <w:left w:val="nil"/>
              <w:bottom w:val="nil"/>
              <w:right w:val="nil"/>
            </w:tcBorders>
            <w:shd w:val="clear" w:color="auto" w:fill="auto"/>
            <w:noWrap/>
            <w:vAlign w:val="bottom"/>
            <w:hideMark/>
          </w:tcPr>
          <w:p w14:paraId="1E65F59D" w14:textId="1784EEC1" w:rsidR="001A51B9" w:rsidRDefault="00783419">
            <w:pPr>
              <w:rPr>
                <w:rFonts w:cs="Calibri"/>
                <w:b/>
                <w:bCs/>
              </w:rPr>
            </w:pPr>
            <w:r>
              <w:rPr>
                <w:rFonts w:cs="Calibri"/>
                <w:b/>
                <w:bCs/>
              </w:rPr>
              <w:t xml:space="preserve">PG: </w:t>
            </w:r>
            <w:r w:rsidR="001A51B9">
              <w:rPr>
                <w:rFonts w:cs="Calibri"/>
                <w:b/>
                <w:bCs/>
              </w:rPr>
              <w:t>Cue-reactivity (gambling-related &gt; neutral cue)</w:t>
            </w:r>
          </w:p>
        </w:tc>
      </w:tr>
      <w:tr w:rsidR="001A51B9" w14:paraId="7F3B40D0" w14:textId="77777777" w:rsidTr="00783419">
        <w:trPr>
          <w:trHeight w:val="360"/>
        </w:trPr>
        <w:tc>
          <w:tcPr>
            <w:tcW w:w="2200" w:type="dxa"/>
            <w:tcBorders>
              <w:top w:val="nil"/>
              <w:left w:val="nil"/>
              <w:bottom w:val="single" w:sz="8" w:space="0" w:color="auto"/>
              <w:right w:val="single" w:sz="8" w:space="0" w:color="auto"/>
            </w:tcBorders>
            <w:shd w:val="clear" w:color="auto" w:fill="auto"/>
            <w:noWrap/>
            <w:vAlign w:val="bottom"/>
            <w:hideMark/>
          </w:tcPr>
          <w:p w14:paraId="48CDCB80" w14:textId="77777777" w:rsidR="001A51B9" w:rsidRDefault="001A51B9">
            <w:pPr>
              <w:rPr>
                <w:rFonts w:cs="Calibri"/>
              </w:rPr>
            </w:pPr>
            <w:r>
              <w:rPr>
                <w:rFonts w:cs="Calibri"/>
              </w:rPr>
              <w:t> </w:t>
            </w:r>
          </w:p>
        </w:tc>
        <w:tc>
          <w:tcPr>
            <w:tcW w:w="2040" w:type="dxa"/>
            <w:tcBorders>
              <w:top w:val="single" w:sz="8" w:space="0" w:color="auto"/>
              <w:left w:val="nil"/>
              <w:bottom w:val="single" w:sz="8" w:space="0" w:color="auto"/>
              <w:right w:val="nil"/>
            </w:tcBorders>
            <w:shd w:val="clear" w:color="auto" w:fill="auto"/>
            <w:vAlign w:val="bottom"/>
            <w:hideMark/>
          </w:tcPr>
          <w:p w14:paraId="1A04CA7D" w14:textId="113CBFB7" w:rsidR="001A51B9" w:rsidRDefault="001A51B9">
            <w:pPr>
              <w:jc w:val="center"/>
              <w:rPr>
                <w:rFonts w:cs="Calibri"/>
              </w:rPr>
            </w:pPr>
            <w:r>
              <w:rPr>
                <w:rFonts w:cs="Calibri"/>
              </w:rPr>
              <w:t xml:space="preserve">Ventral </w:t>
            </w:r>
            <w:r w:rsidR="007E50CE">
              <w:rPr>
                <w:rFonts w:cs="Calibri"/>
              </w:rPr>
              <w:t>s</w:t>
            </w:r>
            <w:r>
              <w:rPr>
                <w:rFonts w:cs="Calibri"/>
              </w:rPr>
              <w:t>triatum</w:t>
            </w:r>
          </w:p>
        </w:tc>
        <w:tc>
          <w:tcPr>
            <w:tcW w:w="1572"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44D8E0D8" w14:textId="77777777" w:rsidR="001A51B9" w:rsidRDefault="001A51B9">
            <w:pPr>
              <w:jc w:val="center"/>
              <w:rPr>
                <w:rFonts w:cs="Calibri"/>
              </w:rPr>
            </w:pPr>
            <w:r>
              <w:rPr>
                <w:rFonts w:cs="Calibri"/>
              </w:rPr>
              <w:t>Caudate</w:t>
            </w:r>
          </w:p>
        </w:tc>
        <w:tc>
          <w:tcPr>
            <w:tcW w:w="1779" w:type="dxa"/>
            <w:tcBorders>
              <w:top w:val="single" w:sz="8" w:space="0" w:color="auto"/>
              <w:left w:val="nil"/>
              <w:bottom w:val="single" w:sz="8" w:space="0" w:color="auto"/>
              <w:right w:val="single" w:sz="8" w:space="0" w:color="auto"/>
            </w:tcBorders>
            <w:shd w:val="clear" w:color="auto" w:fill="auto"/>
            <w:vAlign w:val="bottom"/>
            <w:hideMark/>
          </w:tcPr>
          <w:p w14:paraId="4F36AA97" w14:textId="77777777" w:rsidR="001A51B9" w:rsidRDefault="001A51B9">
            <w:pPr>
              <w:jc w:val="center"/>
              <w:rPr>
                <w:rFonts w:cs="Calibri"/>
              </w:rPr>
            </w:pPr>
            <w:r>
              <w:rPr>
                <w:rFonts w:cs="Calibri"/>
              </w:rPr>
              <w:t>Putamen</w:t>
            </w:r>
          </w:p>
        </w:tc>
      </w:tr>
      <w:tr w:rsidR="001A51B9" w14:paraId="2C068DDA" w14:textId="77777777" w:rsidTr="00783419">
        <w:trPr>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1F32633A" w14:textId="77777777" w:rsidR="001A51B9" w:rsidRDefault="001A51B9">
            <w:pPr>
              <w:rPr>
                <w:rFonts w:cs="Calibri"/>
              </w:rPr>
            </w:pPr>
            <w:r>
              <w:rPr>
                <w:rFonts w:cs="Calibri"/>
              </w:rPr>
              <w:t>Gambling craving</w:t>
            </w:r>
          </w:p>
        </w:tc>
        <w:tc>
          <w:tcPr>
            <w:tcW w:w="2040" w:type="dxa"/>
            <w:tcBorders>
              <w:top w:val="single" w:sz="8" w:space="0" w:color="auto"/>
              <w:left w:val="single" w:sz="8" w:space="0" w:color="auto"/>
              <w:bottom w:val="single" w:sz="4" w:space="0" w:color="auto"/>
              <w:right w:val="single" w:sz="4" w:space="0" w:color="auto"/>
            </w:tcBorders>
            <w:shd w:val="clear" w:color="000000" w:fill="FECECF"/>
            <w:noWrap/>
            <w:vAlign w:val="bottom"/>
            <w:hideMark/>
          </w:tcPr>
          <w:p w14:paraId="6B155EB1" w14:textId="77777777" w:rsidR="001A51B9" w:rsidRDefault="001A51B9">
            <w:pPr>
              <w:jc w:val="center"/>
              <w:rPr>
                <w:rFonts w:cs="Calibri"/>
              </w:rPr>
            </w:pPr>
            <w:r>
              <w:rPr>
                <w:rFonts w:cs="Calibri"/>
              </w:rPr>
              <w:t>-0,11</w:t>
            </w:r>
          </w:p>
        </w:tc>
        <w:tc>
          <w:tcPr>
            <w:tcW w:w="1572" w:type="dxa"/>
            <w:tcBorders>
              <w:top w:val="single" w:sz="8" w:space="0" w:color="auto"/>
              <w:left w:val="single" w:sz="4" w:space="0" w:color="auto"/>
              <w:bottom w:val="single" w:sz="4" w:space="0" w:color="auto"/>
              <w:right w:val="single" w:sz="4" w:space="0" w:color="auto"/>
            </w:tcBorders>
            <w:shd w:val="clear" w:color="000000" w:fill="FEEFEF"/>
            <w:noWrap/>
            <w:vAlign w:val="bottom"/>
            <w:hideMark/>
          </w:tcPr>
          <w:p w14:paraId="2DDE961A" w14:textId="77777777" w:rsidR="001A51B9" w:rsidRDefault="001A51B9">
            <w:pPr>
              <w:jc w:val="center"/>
              <w:rPr>
                <w:rFonts w:cs="Calibri"/>
              </w:rPr>
            </w:pPr>
            <w:r>
              <w:rPr>
                <w:rFonts w:cs="Calibri"/>
              </w:rPr>
              <w:t>0,04</w:t>
            </w:r>
          </w:p>
        </w:tc>
        <w:tc>
          <w:tcPr>
            <w:tcW w:w="1779" w:type="dxa"/>
            <w:tcBorders>
              <w:top w:val="single" w:sz="8" w:space="0" w:color="auto"/>
              <w:left w:val="single" w:sz="4" w:space="0" w:color="auto"/>
              <w:bottom w:val="single" w:sz="4" w:space="0" w:color="auto"/>
              <w:right w:val="single" w:sz="8" w:space="0" w:color="auto"/>
            </w:tcBorders>
            <w:shd w:val="clear" w:color="000000" w:fill="FED6D7"/>
            <w:noWrap/>
            <w:vAlign w:val="bottom"/>
            <w:hideMark/>
          </w:tcPr>
          <w:p w14:paraId="4F312934" w14:textId="77777777" w:rsidR="001A51B9" w:rsidRDefault="001A51B9">
            <w:pPr>
              <w:jc w:val="center"/>
              <w:rPr>
                <w:rFonts w:cs="Calibri"/>
              </w:rPr>
            </w:pPr>
            <w:r>
              <w:rPr>
                <w:rFonts w:cs="Calibri"/>
              </w:rPr>
              <w:t>-0,07</w:t>
            </w:r>
          </w:p>
        </w:tc>
      </w:tr>
      <w:tr w:rsidR="001A51B9" w14:paraId="12A12AFC" w14:textId="77777777" w:rsidTr="00783419">
        <w:trPr>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127CB57F" w14:textId="77777777" w:rsidR="001A51B9" w:rsidRDefault="001A51B9">
            <w:pPr>
              <w:rPr>
                <w:rFonts w:cs="Calibri"/>
              </w:rPr>
            </w:pPr>
            <w:r>
              <w:rPr>
                <w:rFonts w:cs="Calibri"/>
              </w:rPr>
              <w:t xml:space="preserve">GD severity </w:t>
            </w:r>
          </w:p>
        </w:tc>
        <w:tc>
          <w:tcPr>
            <w:tcW w:w="2040" w:type="dxa"/>
            <w:tcBorders>
              <w:top w:val="single" w:sz="4" w:space="0" w:color="auto"/>
              <w:left w:val="single" w:sz="8" w:space="0" w:color="auto"/>
              <w:bottom w:val="single" w:sz="4" w:space="0" w:color="auto"/>
              <w:right w:val="single" w:sz="4" w:space="0" w:color="auto"/>
            </w:tcBorders>
            <w:shd w:val="clear" w:color="000000" w:fill="DDFFDB"/>
            <w:noWrap/>
            <w:vAlign w:val="bottom"/>
            <w:hideMark/>
          </w:tcPr>
          <w:p w14:paraId="554B7FAF" w14:textId="77777777" w:rsidR="001A51B9" w:rsidRDefault="001A51B9">
            <w:pPr>
              <w:jc w:val="center"/>
              <w:rPr>
                <w:rFonts w:cs="Calibri"/>
              </w:rPr>
            </w:pPr>
            <w:r>
              <w:rPr>
                <w:rFonts w:cs="Calibri"/>
              </w:rPr>
              <w:t>0,25</w:t>
            </w:r>
          </w:p>
        </w:tc>
        <w:tc>
          <w:tcPr>
            <w:tcW w:w="1572" w:type="dxa"/>
            <w:tcBorders>
              <w:top w:val="single" w:sz="4" w:space="0" w:color="auto"/>
              <w:left w:val="single" w:sz="4" w:space="0" w:color="auto"/>
              <w:bottom w:val="single" w:sz="4" w:space="0" w:color="auto"/>
              <w:right w:val="single" w:sz="4" w:space="0" w:color="auto"/>
            </w:tcBorders>
            <w:shd w:val="clear" w:color="000000" w:fill="F9FFF8"/>
            <w:noWrap/>
            <w:vAlign w:val="bottom"/>
            <w:hideMark/>
          </w:tcPr>
          <w:p w14:paraId="4C6E3F67" w14:textId="77777777" w:rsidR="001A51B9" w:rsidRDefault="001A51B9">
            <w:pPr>
              <w:jc w:val="center"/>
              <w:rPr>
                <w:rFonts w:cs="Calibri"/>
              </w:rPr>
            </w:pPr>
            <w:r>
              <w:rPr>
                <w:rFonts w:cs="Calibri"/>
              </w:rPr>
              <w:t>0,13</w:t>
            </w:r>
          </w:p>
        </w:tc>
        <w:tc>
          <w:tcPr>
            <w:tcW w:w="1779" w:type="dxa"/>
            <w:tcBorders>
              <w:top w:val="single" w:sz="4" w:space="0" w:color="auto"/>
              <w:left w:val="single" w:sz="4" w:space="0" w:color="auto"/>
              <w:bottom w:val="single" w:sz="4" w:space="0" w:color="auto"/>
              <w:right w:val="single" w:sz="8" w:space="0" w:color="auto"/>
            </w:tcBorders>
            <w:shd w:val="clear" w:color="000000" w:fill="FEE6E7"/>
            <w:noWrap/>
            <w:vAlign w:val="bottom"/>
            <w:hideMark/>
          </w:tcPr>
          <w:p w14:paraId="3C8342A9" w14:textId="77777777" w:rsidR="001A51B9" w:rsidRDefault="001A51B9">
            <w:pPr>
              <w:jc w:val="center"/>
              <w:rPr>
                <w:rFonts w:cs="Calibri"/>
              </w:rPr>
            </w:pPr>
            <w:r>
              <w:rPr>
                <w:rFonts w:cs="Calibri"/>
              </w:rPr>
              <w:t>0,00</w:t>
            </w:r>
          </w:p>
        </w:tc>
      </w:tr>
      <w:tr w:rsidR="001A51B9" w14:paraId="0024289E" w14:textId="77777777" w:rsidTr="00783419">
        <w:trPr>
          <w:trHeight w:val="320"/>
        </w:trPr>
        <w:tc>
          <w:tcPr>
            <w:tcW w:w="2200" w:type="dxa"/>
            <w:tcBorders>
              <w:top w:val="nil"/>
              <w:left w:val="single" w:sz="8" w:space="0" w:color="auto"/>
              <w:bottom w:val="single" w:sz="4" w:space="0" w:color="auto"/>
              <w:right w:val="single" w:sz="8" w:space="0" w:color="auto"/>
            </w:tcBorders>
            <w:shd w:val="clear" w:color="auto" w:fill="auto"/>
            <w:noWrap/>
            <w:vAlign w:val="bottom"/>
            <w:hideMark/>
          </w:tcPr>
          <w:p w14:paraId="4BFAB401" w14:textId="77777777" w:rsidR="001A51B9" w:rsidRDefault="001A51B9">
            <w:pPr>
              <w:rPr>
                <w:rFonts w:cs="Calibri"/>
              </w:rPr>
            </w:pPr>
            <w:r>
              <w:rPr>
                <w:rFonts w:cs="Calibri"/>
              </w:rPr>
              <w:t xml:space="preserve">GD duration </w:t>
            </w:r>
          </w:p>
        </w:tc>
        <w:tc>
          <w:tcPr>
            <w:tcW w:w="2040" w:type="dxa"/>
            <w:tcBorders>
              <w:top w:val="single" w:sz="4" w:space="0" w:color="auto"/>
              <w:left w:val="single" w:sz="8" w:space="0" w:color="auto"/>
              <w:bottom w:val="single" w:sz="4" w:space="0" w:color="auto"/>
              <w:right w:val="single" w:sz="4" w:space="0" w:color="auto"/>
            </w:tcBorders>
            <w:shd w:val="clear" w:color="000000" w:fill="AFFFAA"/>
            <w:noWrap/>
            <w:vAlign w:val="bottom"/>
            <w:hideMark/>
          </w:tcPr>
          <w:p w14:paraId="6BD85584" w14:textId="77777777" w:rsidR="001A51B9" w:rsidRDefault="001A51B9">
            <w:pPr>
              <w:jc w:val="center"/>
              <w:rPr>
                <w:rFonts w:cs="Calibri"/>
              </w:rPr>
            </w:pPr>
            <w:r>
              <w:rPr>
                <w:rFonts w:cs="Calibri"/>
              </w:rPr>
              <w:t>0,44</w:t>
            </w:r>
          </w:p>
        </w:tc>
        <w:tc>
          <w:tcPr>
            <w:tcW w:w="1572" w:type="dxa"/>
            <w:tcBorders>
              <w:top w:val="single" w:sz="4" w:space="0" w:color="auto"/>
              <w:left w:val="single" w:sz="4" w:space="0" w:color="auto"/>
              <w:bottom w:val="single" w:sz="4" w:space="0" w:color="auto"/>
              <w:right w:val="single" w:sz="4" w:space="0" w:color="auto"/>
            </w:tcBorders>
            <w:shd w:val="clear" w:color="000000" w:fill="FEF4F4"/>
            <w:noWrap/>
            <w:vAlign w:val="bottom"/>
            <w:hideMark/>
          </w:tcPr>
          <w:p w14:paraId="655589E9" w14:textId="77777777" w:rsidR="001A51B9" w:rsidRDefault="001A51B9">
            <w:pPr>
              <w:jc w:val="center"/>
              <w:rPr>
                <w:rFonts w:cs="Calibri"/>
              </w:rPr>
            </w:pPr>
            <w:r>
              <w:rPr>
                <w:rFonts w:cs="Calibri"/>
              </w:rPr>
              <w:t>0,06</w:t>
            </w:r>
          </w:p>
        </w:tc>
        <w:tc>
          <w:tcPr>
            <w:tcW w:w="1779" w:type="dxa"/>
            <w:tcBorders>
              <w:top w:val="single" w:sz="4" w:space="0" w:color="auto"/>
              <w:left w:val="single" w:sz="4" w:space="0" w:color="auto"/>
              <w:bottom w:val="single" w:sz="4" w:space="0" w:color="auto"/>
              <w:right w:val="single" w:sz="8" w:space="0" w:color="auto"/>
            </w:tcBorders>
            <w:shd w:val="clear" w:color="000000" w:fill="FEF8F8"/>
            <w:noWrap/>
            <w:vAlign w:val="bottom"/>
            <w:hideMark/>
          </w:tcPr>
          <w:p w14:paraId="1D988B49" w14:textId="77777777" w:rsidR="001A51B9" w:rsidRDefault="001A51B9">
            <w:pPr>
              <w:jc w:val="center"/>
              <w:rPr>
                <w:rFonts w:cs="Calibri"/>
              </w:rPr>
            </w:pPr>
            <w:r>
              <w:rPr>
                <w:rFonts w:cs="Calibri"/>
              </w:rPr>
              <w:t>0,08</w:t>
            </w:r>
          </w:p>
        </w:tc>
      </w:tr>
      <w:tr w:rsidR="001A51B9" w14:paraId="66ED7030" w14:textId="77777777" w:rsidTr="00783419">
        <w:trPr>
          <w:trHeight w:val="340"/>
        </w:trPr>
        <w:tc>
          <w:tcPr>
            <w:tcW w:w="2200" w:type="dxa"/>
            <w:tcBorders>
              <w:top w:val="nil"/>
              <w:left w:val="single" w:sz="8" w:space="0" w:color="auto"/>
              <w:bottom w:val="single" w:sz="8" w:space="0" w:color="auto"/>
              <w:right w:val="single" w:sz="8" w:space="0" w:color="auto"/>
            </w:tcBorders>
            <w:shd w:val="clear" w:color="auto" w:fill="auto"/>
            <w:noWrap/>
            <w:vAlign w:val="bottom"/>
            <w:hideMark/>
          </w:tcPr>
          <w:p w14:paraId="0636F89D" w14:textId="77777777" w:rsidR="001A51B9" w:rsidRDefault="001A51B9">
            <w:pPr>
              <w:rPr>
                <w:rFonts w:cs="Calibri"/>
              </w:rPr>
            </w:pPr>
            <w:r>
              <w:rPr>
                <w:rFonts w:cs="Calibri"/>
              </w:rPr>
              <w:t>Abstinence</w:t>
            </w:r>
          </w:p>
        </w:tc>
        <w:tc>
          <w:tcPr>
            <w:tcW w:w="2040" w:type="dxa"/>
            <w:tcBorders>
              <w:top w:val="single" w:sz="4" w:space="0" w:color="auto"/>
              <w:left w:val="single" w:sz="8" w:space="0" w:color="auto"/>
              <w:bottom w:val="single" w:sz="8" w:space="0" w:color="auto"/>
              <w:right w:val="single" w:sz="4" w:space="0" w:color="auto"/>
            </w:tcBorders>
            <w:shd w:val="clear" w:color="000000" w:fill="F6FFF5"/>
            <w:noWrap/>
            <w:vAlign w:val="bottom"/>
            <w:hideMark/>
          </w:tcPr>
          <w:p w14:paraId="05EC4FE5" w14:textId="77777777" w:rsidR="001A51B9" w:rsidRDefault="001A51B9">
            <w:pPr>
              <w:jc w:val="center"/>
              <w:rPr>
                <w:rFonts w:cs="Calibri"/>
              </w:rPr>
            </w:pPr>
            <w:r>
              <w:rPr>
                <w:rFonts w:cs="Calibri"/>
              </w:rPr>
              <w:t>0,14</w:t>
            </w:r>
          </w:p>
        </w:tc>
        <w:tc>
          <w:tcPr>
            <w:tcW w:w="1572" w:type="dxa"/>
            <w:tcBorders>
              <w:top w:val="single" w:sz="4" w:space="0" w:color="auto"/>
              <w:left w:val="single" w:sz="4" w:space="0" w:color="auto"/>
              <w:bottom w:val="single" w:sz="8" w:space="0" w:color="auto"/>
              <w:right w:val="single" w:sz="4" w:space="0" w:color="auto"/>
            </w:tcBorders>
            <w:shd w:val="clear" w:color="000000" w:fill="E6FFE4"/>
            <w:noWrap/>
            <w:vAlign w:val="bottom"/>
            <w:hideMark/>
          </w:tcPr>
          <w:p w14:paraId="55C1B029" w14:textId="77777777" w:rsidR="001A51B9" w:rsidRDefault="001A51B9">
            <w:pPr>
              <w:jc w:val="center"/>
              <w:rPr>
                <w:rFonts w:cs="Calibri"/>
              </w:rPr>
            </w:pPr>
            <w:r>
              <w:rPr>
                <w:rFonts w:cs="Calibri"/>
              </w:rPr>
              <w:t>0,21</w:t>
            </w:r>
          </w:p>
        </w:tc>
        <w:tc>
          <w:tcPr>
            <w:tcW w:w="1779" w:type="dxa"/>
            <w:tcBorders>
              <w:top w:val="single" w:sz="4" w:space="0" w:color="auto"/>
              <w:left w:val="single" w:sz="4" w:space="0" w:color="auto"/>
              <w:bottom w:val="single" w:sz="8" w:space="0" w:color="auto"/>
              <w:right w:val="single" w:sz="8" w:space="0" w:color="auto"/>
            </w:tcBorders>
            <w:shd w:val="clear" w:color="000000" w:fill="EFFFEE"/>
            <w:noWrap/>
            <w:vAlign w:val="bottom"/>
            <w:hideMark/>
          </w:tcPr>
          <w:p w14:paraId="028FEFC1" w14:textId="77777777" w:rsidR="001A51B9" w:rsidRDefault="001A51B9">
            <w:pPr>
              <w:jc w:val="center"/>
              <w:rPr>
                <w:rFonts w:cs="Calibri"/>
              </w:rPr>
            </w:pPr>
            <w:r>
              <w:rPr>
                <w:rFonts w:cs="Calibri"/>
              </w:rPr>
              <w:t>0,17</w:t>
            </w:r>
          </w:p>
        </w:tc>
      </w:tr>
    </w:tbl>
    <w:p w14:paraId="00CE44BB" w14:textId="77777777" w:rsidR="009B7B32" w:rsidRDefault="009B7B32" w:rsidP="009B7B32">
      <w:pPr>
        <w:spacing w:line="480" w:lineRule="auto"/>
        <w:rPr>
          <w:sz w:val="22"/>
          <w:szCs w:val="22"/>
        </w:rPr>
      </w:pPr>
    </w:p>
    <w:p w14:paraId="6E059280" w14:textId="77777777" w:rsidR="009B7B32" w:rsidRDefault="009B7B32" w:rsidP="009B7B32">
      <w:pPr>
        <w:spacing w:line="480" w:lineRule="auto"/>
        <w:rPr>
          <w:sz w:val="22"/>
          <w:szCs w:val="22"/>
        </w:rPr>
      </w:pPr>
    </w:p>
    <w:p w14:paraId="7A8B55E9" w14:textId="11AB9002" w:rsidR="005C0024" w:rsidRPr="000F4484" w:rsidRDefault="005C0024" w:rsidP="00E9319E">
      <w:pPr>
        <w:pStyle w:val="Cmsor4"/>
        <w:spacing w:line="480" w:lineRule="auto"/>
        <w:rPr>
          <w:rFonts w:ascii="Calibri" w:hAnsi="Calibri"/>
          <w:b w:val="0"/>
          <w:i w:val="0"/>
          <w:color w:val="auto"/>
        </w:rPr>
      </w:pPr>
      <w:r w:rsidRPr="000F4484">
        <w:rPr>
          <w:rFonts w:ascii="Calibri" w:hAnsi="Calibri"/>
          <w:i w:val="0"/>
          <w:color w:val="auto"/>
        </w:rPr>
        <w:lastRenderedPageBreak/>
        <w:t>Figure S1</w:t>
      </w:r>
      <w:r w:rsidRPr="000F4484">
        <w:rPr>
          <w:rFonts w:ascii="Calibri" w:hAnsi="Calibri"/>
          <w:b w:val="0"/>
          <w:i w:val="0"/>
          <w:color w:val="auto"/>
        </w:rPr>
        <w:t>: Accuracy (number of correct trials) in (A) AUDs + matched HCs and (B) GDs + matched HCs</w:t>
      </w:r>
      <w:r w:rsidR="00112870">
        <w:rPr>
          <w:rFonts w:ascii="Calibri" w:hAnsi="Calibri"/>
          <w:b w:val="0"/>
          <w:i w:val="0"/>
          <w:color w:val="auto"/>
        </w:rPr>
        <w:t>. Add = Addiction-related cue, Neu = Neutral cue</w:t>
      </w:r>
    </w:p>
    <w:p w14:paraId="15B8ABE2" w14:textId="77777777" w:rsidR="00E87510" w:rsidRPr="000F4484" w:rsidRDefault="00E87510" w:rsidP="00E87510">
      <w:pPr>
        <w:pStyle w:val="Cmsor4"/>
        <w:rPr>
          <w:i w:val="0"/>
          <w:color w:val="000000"/>
          <w:sz w:val="24"/>
        </w:rPr>
      </w:pPr>
      <w:r w:rsidRPr="000F4484">
        <w:rPr>
          <w:i w:val="0"/>
          <w:color w:val="000000"/>
          <w:sz w:val="24"/>
        </w:rPr>
        <w:t>AUD group</w:t>
      </w:r>
      <w:r w:rsidR="003D6D2B" w:rsidRPr="000F4484">
        <w:rPr>
          <w:i w:val="0"/>
          <w:color w:val="000000"/>
          <w:sz w:val="24"/>
        </w:rPr>
        <w:tab/>
      </w:r>
      <w:r w:rsidR="003D6D2B" w:rsidRPr="000F4484">
        <w:rPr>
          <w:i w:val="0"/>
          <w:color w:val="000000"/>
          <w:sz w:val="24"/>
        </w:rPr>
        <w:tab/>
      </w:r>
      <w:r w:rsidR="003D6D2B" w:rsidRPr="000F4484">
        <w:rPr>
          <w:i w:val="0"/>
          <w:color w:val="000000"/>
          <w:sz w:val="24"/>
        </w:rPr>
        <w:tab/>
      </w:r>
      <w:r w:rsidR="003D6D2B" w:rsidRPr="000F4484">
        <w:rPr>
          <w:i w:val="0"/>
          <w:color w:val="000000"/>
          <w:sz w:val="24"/>
        </w:rPr>
        <w:tab/>
      </w:r>
      <w:r w:rsidR="003D6D2B" w:rsidRPr="000F4484">
        <w:rPr>
          <w:i w:val="0"/>
          <w:color w:val="000000"/>
          <w:sz w:val="24"/>
        </w:rPr>
        <w:tab/>
      </w:r>
      <w:r w:rsidR="003D6D2B" w:rsidRPr="000F4484">
        <w:rPr>
          <w:i w:val="0"/>
          <w:color w:val="000000"/>
          <w:sz w:val="24"/>
        </w:rPr>
        <w:tab/>
        <w:t>HC group (AUD study)</w:t>
      </w:r>
    </w:p>
    <w:p w14:paraId="6A64EE05" w14:textId="77777777" w:rsidR="00E87510" w:rsidRDefault="00E87510" w:rsidP="003D6D2B">
      <w:pPr>
        <w:pStyle w:val="Cmsor4"/>
      </w:pPr>
      <w:r>
        <w:rPr>
          <w:noProof/>
        </w:rPr>
        <w:drawing>
          <wp:inline distT="0" distB="0" distL="0" distR="0" wp14:anchorId="60CEC6F4" wp14:editId="2DB9261E">
            <wp:extent cx="2441575" cy="2519680"/>
            <wp:effectExtent l="0" t="0" r="0" b="0"/>
            <wp:docPr id="1" name="Picture 11" descr="/Users/tvantimmeren/.JASP/temp/clipboard/resources/0/_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9">
                      <a:extLst>
                        <a:ext uri="{28A0092B-C50C-407E-A947-70E740481C1C}">
                          <a14:useLocalDpi xmlns:a14="http://schemas.microsoft.com/office/drawing/2010/main" val="0"/>
                        </a:ext>
                      </a:extLst>
                    </a:blip>
                    <a:srcRect l="4247" t="7278" r="39983" b="6274"/>
                    <a:stretch>
                      <a:fillRect/>
                    </a:stretch>
                  </pic:blipFill>
                  <pic:spPr>
                    <a:xfrm>
                      <a:off x="0" y="0"/>
                      <a:ext cx="2441575" cy="2519680"/>
                    </a:xfrm>
                    <a:prstGeom prst="rect">
                      <a:avLst/>
                    </a:prstGeom>
                  </pic:spPr>
                </pic:pic>
              </a:graphicData>
            </a:graphic>
          </wp:inline>
        </w:drawing>
      </w:r>
      <w:r w:rsidR="14BD55D9">
        <w:t xml:space="preserve">             </w:t>
      </w:r>
      <w:r>
        <w:tab/>
      </w:r>
      <w:r w:rsidR="14BD55D9">
        <w:t xml:space="preserve"> </w:t>
      </w:r>
      <w:r>
        <w:rPr>
          <w:noProof/>
        </w:rPr>
        <w:drawing>
          <wp:inline distT="0" distB="0" distL="0" distR="0" wp14:anchorId="02AB41CA" wp14:editId="5FD051E8">
            <wp:extent cx="2305685" cy="2461260"/>
            <wp:effectExtent l="0" t="0" r="0" b="0"/>
            <wp:docPr id="2" name="Picture 10" descr="/Users/tvantimmeren/.JASP/temp/clipboard/resources/0/_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0">
                      <a:extLst>
                        <a:ext uri="{28A0092B-C50C-407E-A947-70E740481C1C}">
                          <a14:useLocalDpi xmlns:a14="http://schemas.microsoft.com/office/drawing/2010/main" val="0"/>
                        </a:ext>
                      </a:extLst>
                    </a:blip>
                    <a:srcRect l="4243" t="7886" r="43214" b="7813"/>
                    <a:stretch>
                      <a:fillRect/>
                    </a:stretch>
                  </pic:blipFill>
                  <pic:spPr>
                    <a:xfrm>
                      <a:off x="0" y="0"/>
                      <a:ext cx="2305685" cy="2461260"/>
                    </a:xfrm>
                    <a:prstGeom prst="rect">
                      <a:avLst/>
                    </a:prstGeom>
                  </pic:spPr>
                </pic:pic>
              </a:graphicData>
            </a:graphic>
          </wp:inline>
        </w:drawing>
      </w:r>
    </w:p>
    <w:p w14:paraId="4B99056E" w14:textId="77777777" w:rsidR="00E87510" w:rsidRDefault="00E87510" w:rsidP="00E87510"/>
    <w:p w14:paraId="0D801742" w14:textId="77777777" w:rsidR="00E87510" w:rsidRPr="000F4484" w:rsidRDefault="00E87510" w:rsidP="00E87510">
      <w:pPr>
        <w:pStyle w:val="Cmsor5"/>
        <w:rPr>
          <w:b/>
          <w:color w:val="000000"/>
        </w:rPr>
      </w:pPr>
      <w:r w:rsidRPr="000F4484">
        <w:rPr>
          <w:b/>
          <w:color w:val="000000"/>
        </w:rPr>
        <w:t>GD group</w:t>
      </w:r>
      <w:r w:rsidR="003D6D2B" w:rsidRPr="000F4484">
        <w:rPr>
          <w:b/>
          <w:color w:val="000000"/>
        </w:rPr>
        <w:tab/>
      </w:r>
      <w:r w:rsidR="003D6D2B" w:rsidRPr="000F4484">
        <w:rPr>
          <w:b/>
          <w:color w:val="000000"/>
        </w:rPr>
        <w:tab/>
      </w:r>
      <w:r w:rsidR="003D6D2B" w:rsidRPr="000F4484">
        <w:rPr>
          <w:b/>
          <w:color w:val="000000"/>
        </w:rPr>
        <w:tab/>
      </w:r>
      <w:r w:rsidR="003D6D2B" w:rsidRPr="000F4484">
        <w:rPr>
          <w:b/>
          <w:color w:val="000000"/>
        </w:rPr>
        <w:tab/>
      </w:r>
      <w:r w:rsidR="003D6D2B" w:rsidRPr="000F4484">
        <w:rPr>
          <w:b/>
          <w:color w:val="000000"/>
        </w:rPr>
        <w:tab/>
      </w:r>
      <w:r w:rsidR="003D6D2B" w:rsidRPr="000F4484">
        <w:rPr>
          <w:b/>
          <w:color w:val="000000"/>
        </w:rPr>
        <w:tab/>
        <w:t>HC group (GD study)</w:t>
      </w:r>
    </w:p>
    <w:p w14:paraId="26B6219C" w14:textId="77777777" w:rsidR="00E87510" w:rsidRDefault="00E87510" w:rsidP="003D6D2B">
      <w:r>
        <w:rPr>
          <w:noProof/>
        </w:rPr>
        <w:drawing>
          <wp:inline distT="0" distB="0" distL="0" distR="0" wp14:anchorId="4A32F3AD" wp14:editId="0DFB699F">
            <wp:extent cx="2324735" cy="2646045"/>
            <wp:effectExtent l="0" t="0" r="0" b="0"/>
            <wp:docPr id="3" name="Picture 9" descr="/Users/tvantimmeren/.JASP/temp/clipboard/resources/0/_1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1">
                      <a:extLst>
                        <a:ext uri="{28A0092B-C50C-407E-A947-70E740481C1C}">
                          <a14:useLocalDpi xmlns:a14="http://schemas.microsoft.com/office/drawing/2010/main" val="0"/>
                        </a:ext>
                      </a:extLst>
                    </a:blip>
                    <a:srcRect l="4042" t="1213" r="41194" b="5693"/>
                    <a:stretch>
                      <a:fillRect/>
                    </a:stretch>
                  </pic:blipFill>
                  <pic:spPr>
                    <a:xfrm>
                      <a:off x="0" y="0"/>
                      <a:ext cx="2324735" cy="2646045"/>
                    </a:xfrm>
                    <a:prstGeom prst="rect">
                      <a:avLst/>
                    </a:prstGeom>
                  </pic:spPr>
                </pic:pic>
              </a:graphicData>
            </a:graphic>
          </wp:inline>
        </w:drawing>
      </w:r>
      <w:r>
        <w:tab/>
      </w:r>
      <w:r>
        <w:tab/>
      </w:r>
      <w:r>
        <w:rPr>
          <w:noProof/>
        </w:rPr>
        <w:drawing>
          <wp:inline distT="0" distB="0" distL="0" distR="0" wp14:anchorId="7E247411" wp14:editId="3870EA72">
            <wp:extent cx="2227580" cy="2432050"/>
            <wp:effectExtent l="0" t="0" r="0" b="0"/>
            <wp:docPr id="4" name="Picture 8" descr="/Users/tvantimmeren/.JASP/temp/clipboard/resources/0/_1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2">
                      <a:extLst>
                        <a:ext uri="{28A0092B-C50C-407E-A947-70E740481C1C}">
                          <a14:useLocalDpi xmlns:a14="http://schemas.microsoft.com/office/drawing/2010/main" val="0"/>
                        </a:ext>
                      </a:extLst>
                    </a:blip>
                    <a:srcRect l="4851" t="8189" r="43013" b="6905"/>
                    <a:stretch>
                      <a:fillRect/>
                    </a:stretch>
                  </pic:blipFill>
                  <pic:spPr>
                    <a:xfrm>
                      <a:off x="0" y="0"/>
                      <a:ext cx="2227580" cy="2432050"/>
                    </a:xfrm>
                    <a:prstGeom prst="rect">
                      <a:avLst/>
                    </a:prstGeom>
                  </pic:spPr>
                </pic:pic>
              </a:graphicData>
            </a:graphic>
          </wp:inline>
        </w:drawing>
      </w:r>
    </w:p>
    <w:p w14:paraId="1299C43A" w14:textId="77777777" w:rsidR="00E87510" w:rsidRDefault="00E87510" w:rsidP="00E87510"/>
    <w:p w14:paraId="4DDBEF00" w14:textId="77777777" w:rsidR="005C0024" w:rsidRPr="00E9319E" w:rsidRDefault="005C0024" w:rsidP="00E9319E">
      <w:pPr>
        <w:spacing w:after="120" w:line="480" w:lineRule="auto"/>
        <w:rPr>
          <w:noProof/>
          <w:sz w:val="22"/>
          <w:szCs w:val="22"/>
          <w:lang w:eastAsia="nl-NL"/>
        </w:rPr>
      </w:pPr>
    </w:p>
    <w:p w14:paraId="3461D779" w14:textId="77777777" w:rsidR="00E455B0" w:rsidRPr="00E9319E" w:rsidRDefault="00E455B0" w:rsidP="00E9319E">
      <w:pPr>
        <w:spacing w:line="480" w:lineRule="auto"/>
        <w:rPr>
          <w:sz w:val="22"/>
          <w:szCs w:val="22"/>
        </w:rPr>
      </w:pPr>
    </w:p>
    <w:p w14:paraId="3CF2D8B6" w14:textId="77777777" w:rsidR="00C975B0" w:rsidRPr="00E9319E" w:rsidRDefault="00C975B0" w:rsidP="00702A3A">
      <w:pPr>
        <w:spacing w:line="480" w:lineRule="auto"/>
        <w:rPr>
          <w:sz w:val="22"/>
          <w:szCs w:val="22"/>
        </w:rPr>
      </w:pPr>
    </w:p>
    <w:p w14:paraId="234B7DCC" w14:textId="226285F6" w:rsidR="00481923" w:rsidRPr="00F87034" w:rsidRDefault="003D6D2B" w:rsidP="00E9319E">
      <w:pPr>
        <w:spacing w:after="120" w:line="480" w:lineRule="auto"/>
        <w:rPr>
          <w:b/>
          <w:sz w:val="22"/>
          <w:szCs w:val="22"/>
        </w:rPr>
      </w:pPr>
      <w:r>
        <w:rPr>
          <w:b/>
          <w:sz w:val="22"/>
          <w:szCs w:val="22"/>
        </w:rPr>
        <w:br w:type="column"/>
      </w:r>
      <w:r w:rsidR="00CC5E9A" w:rsidRPr="00E9319E">
        <w:rPr>
          <w:b/>
          <w:sz w:val="22"/>
          <w:szCs w:val="22"/>
        </w:rPr>
        <w:lastRenderedPageBreak/>
        <w:t>Figure S</w:t>
      </w:r>
      <w:r w:rsidR="00F87034">
        <w:rPr>
          <w:b/>
          <w:sz w:val="22"/>
          <w:szCs w:val="22"/>
        </w:rPr>
        <w:t>2</w:t>
      </w:r>
      <w:r w:rsidR="00CC5E9A" w:rsidRPr="00E9319E">
        <w:rPr>
          <w:b/>
          <w:sz w:val="22"/>
          <w:szCs w:val="22"/>
        </w:rPr>
        <w:t>:</w:t>
      </w:r>
      <w:r w:rsidR="00CC5E9A" w:rsidRPr="00E9319E">
        <w:rPr>
          <w:sz w:val="22"/>
          <w:szCs w:val="22"/>
        </w:rPr>
        <w:t xml:space="preserve"> Whole-brain statistical parametric map for the cue reactivity effect within the GD group. </w:t>
      </w:r>
    </w:p>
    <w:p w14:paraId="6634E960" w14:textId="77777777" w:rsidR="00481923" w:rsidRPr="00481923" w:rsidRDefault="00481923" w:rsidP="00481923">
      <w:pPr>
        <w:spacing w:after="120"/>
        <w:ind w:left="2160" w:firstLine="720"/>
        <w:rPr>
          <w:b/>
          <w:sz w:val="13"/>
          <w:szCs w:val="22"/>
        </w:rPr>
      </w:pPr>
      <w:r>
        <w:rPr>
          <w:b/>
          <w:sz w:val="32"/>
          <w:szCs w:val="22"/>
        </w:rPr>
        <w:t xml:space="preserve">   </w:t>
      </w:r>
      <w:r w:rsidRPr="00481923">
        <w:rPr>
          <w:b/>
          <w:sz w:val="32"/>
          <w:szCs w:val="22"/>
        </w:rPr>
        <w:t>GD</w:t>
      </w:r>
    </w:p>
    <w:p w14:paraId="56FFD438" w14:textId="3D6C6C19" w:rsidR="000756E3" w:rsidRDefault="006509FE" w:rsidP="00E9319E">
      <w:pPr>
        <w:spacing w:after="120" w:line="480" w:lineRule="auto"/>
        <w:rPr>
          <w:bCs/>
          <w:sz w:val="22"/>
          <w:szCs w:val="22"/>
        </w:rPr>
      </w:pPr>
      <w:r w:rsidRPr="000F4484">
        <w:rPr>
          <w:b/>
          <w:noProof/>
          <w:sz w:val="22"/>
          <w:szCs w:val="22"/>
        </w:rPr>
        <w:drawing>
          <wp:inline distT="0" distB="0" distL="0" distR="0" wp14:anchorId="743EC4D2" wp14:editId="07777777">
            <wp:extent cx="3968750" cy="2840355"/>
            <wp:effectExtent l="0" t="0" r="0" b="0"/>
            <wp:docPr id="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8750" cy="2840355"/>
                    </a:xfrm>
                    <a:prstGeom prst="rect">
                      <a:avLst/>
                    </a:prstGeom>
                    <a:noFill/>
                    <a:ln>
                      <a:noFill/>
                    </a:ln>
                  </pic:spPr>
                </pic:pic>
              </a:graphicData>
            </a:graphic>
          </wp:inline>
        </w:drawing>
      </w:r>
      <w:r w:rsidR="00E20F6B">
        <w:rPr>
          <w:b/>
          <w:sz w:val="22"/>
          <w:szCs w:val="22"/>
        </w:rPr>
        <w:br w:type="column"/>
      </w:r>
      <w:r w:rsidR="000756E3">
        <w:rPr>
          <w:b/>
          <w:sz w:val="22"/>
          <w:szCs w:val="22"/>
        </w:rPr>
        <w:lastRenderedPageBreak/>
        <w:t xml:space="preserve">Figure S3 </w:t>
      </w:r>
      <w:r w:rsidR="000756E3" w:rsidRPr="00E9319E">
        <w:rPr>
          <w:b/>
          <w:sz w:val="22"/>
          <w:szCs w:val="22"/>
        </w:rPr>
        <w:t xml:space="preserve">Results from the </w:t>
      </w:r>
      <w:r w:rsidR="000756E3">
        <w:rPr>
          <w:b/>
          <w:sz w:val="22"/>
          <w:szCs w:val="22"/>
        </w:rPr>
        <w:t xml:space="preserve">ventral striatum ROI analyses: </w:t>
      </w:r>
      <w:r w:rsidR="000756E3" w:rsidRPr="00E9319E">
        <w:rPr>
          <w:bCs/>
          <w:sz w:val="22"/>
          <w:szCs w:val="22"/>
        </w:rPr>
        <w:t>activity (betas, arbitrary units) on the y-axis during the four conditions, plotted separately for each group for the caudate and putamen.</w:t>
      </w:r>
      <w:r w:rsidR="000756E3">
        <w:rPr>
          <w:bCs/>
          <w:sz w:val="22"/>
          <w:szCs w:val="22"/>
        </w:rPr>
        <w:t xml:space="preserve"> Alcohol = Alcohol-related cue, Neutral = Neutral cue, Gambling = Gambling-related cue</w:t>
      </w:r>
    </w:p>
    <w:p w14:paraId="037BD23A" w14:textId="5AF5D4DF" w:rsidR="000756E3" w:rsidRDefault="00F917BC" w:rsidP="00E9319E">
      <w:pPr>
        <w:spacing w:after="120" w:line="480" w:lineRule="auto"/>
        <w:rPr>
          <w:b/>
          <w:sz w:val="22"/>
          <w:szCs w:val="22"/>
        </w:rPr>
      </w:pPr>
      <w:r>
        <w:rPr>
          <w:b/>
          <w:noProof/>
          <w:sz w:val="22"/>
          <w:szCs w:val="22"/>
        </w:rPr>
        <w:drawing>
          <wp:inline distT="0" distB="0" distL="0" distR="0" wp14:anchorId="23F44841" wp14:editId="1637375F">
            <wp:extent cx="5055326" cy="4924019"/>
            <wp:effectExtent l="0" t="0" r="0" b="3810"/>
            <wp:docPr id="11" name="Picture 1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 engineering drawing&#10;&#10;Description automatically generated"/>
                    <pic:cNvPicPr/>
                  </pic:nvPicPr>
                  <pic:blipFill>
                    <a:blip r:embed="rId14"/>
                    <a:stretch>
                      <a:fillRect/>
                    </a:stretch>
                  </pic:blipFill>
                  <pic:spPr>
                    <a:xfrm>
                      <a:off x="0" y="0"/>
                      <a:ext cx="5068409" cy="4936763"/>
                    </a:xfrm>
                    <a:prstGeom prst="rect">
                      <a:avLst/>
                    </a:prstGeom>
                  </pic:spPr>
                </pic:pic>
              </a:graphicData>
            </a:graphic>
          </wp:inline>
        </w:drawing>
      </w:r>
    </w:p>
    <w:p w14:paraId="0FF9CE17" w14:textId="77777777" w:rsidR="000756E3" w:rsidRDefault="000756E3" w:rsidP="00E9319E">
      <w:pPr>
        <w:spacing w:after="120" w:line="480" w:lineRule="auto"/>
        <w:rPr>
          <w:b/>
          <w:sz w:val="22"/>
          <w:szCs w:val="22"/>
        </w:rPr>
      </w:pPr>
    </w:p>
    <w:p w14:paraId="0DC2E660" w14:textId="5F54006A" w:rsidR="00CC5E9A" w:rsidRPr="008307FD" w:rsidRDefault="00F917BC" w:rsidP="00E9319E">
      <w:pPr>
        <w:spacing w:after="120" w:line="480" w:lineRule="auto"/>
        <w:rPr>
          <w:b/>
          <w:sz w:val="22"/>
          <w:szCs w:val="22"/>
        </w:rPr>
      </w:pPr>
      <w:r>
        <w:rPr>
          <w:b/>
          <w:sz w:val="22"/>
          <w:szCs w:val="22"/>
        </w:rPr>
        <w:br w:type="column"/>
      </w:r>
      <w:r w:rsidR="00CC5E9A" w:rsidRPr="00E9319E">
        <w:rPr>
          <w:b/>
          <w:sz w:val="22"/>
          <w:szCs w:val="22"/>
        </w:rPr>
        <w:lastRenderedPageBreak/>
        <w:t>Figure S</w:t>
      </w:r>
      <w:r w:rsidR="000756E3">
        <w:rPr>
          <w:b/>
          <w:sz w:val="22"/>
          <w:szCs w:val="22"/>
        </w:rPr>
        <w:t>4</w:t>
      </w:r>
      <w:r w:rsidR="00CC5E9A" w:rsidRPr="00E9319E">
        <w:rPr>
          <w:b/>
          <w:sz w:val="22"/>
          <w:szCs w:val="22"/>
        </w:rPr>
        <w:t xml:space="preserve">. Results from the caudate and putamen regional ROI analyses: </w:t>
      </w:r>
      <w:r w:rsidR="00CC5E9A" w:rsidRPr="00E9319E">
        <w:rPr>
          <w:bCs/>
          <w:sz w:val="22"/>
          <w:szCs w:val="22"/>
        </w:rPr>
        <w:t>activity (betas, arbitrary units) on the y-axis during the four conditions, plotted separately for each group for the caudate and putamen.</w:t>
      </w:r>
      <w:r w:rsidR="00D07025">
        <w:rPr>
          <w:bCs/>
          <w:sz w:val="22"/>
          <w:szCs w:val="22"/>
        </w:rPr>
        <w:t xml:space="preserve"> Alcohol = Alcohol-related cue, Neutral = Neutral cue, Gambling = Gambling-related cue</w:t>
      </w:r>
      <w:r w:rsidR="006E0A3C" w:rsidRPr="006E0A3C">
        <w:rPr>
          <w:noProof/>
        </w:rPr>
        <w:t xml:space="preserve"> </w:t>
      </w:r>
    </w:p>
    <w:p w14:paraId="1FC39945" w14:textId="77777777" w:rsidR="00E20F6B" w:rsidRPr="00E20F6B" w:rsidRDefault="006509FE" w:rsidP="00E9319E">
      <w:pPr>
        <w:spacing w:after="120" w:line="480" w:lineRule="auto"/>
        <w:rPr>
          <w:b/>
          <w:bCs/>
          <w:sz w:val="22"/>
          <w:szCs w:val="22"/>
        </w:rPr>
      </w:pPr>
      <w:r w:rsidRPr="000F4484">
        <w:rPr>
          <w:b/>
          <w:noProof/>
          <w:sz w:val="22"/>
          <w:szCs w:val="22"/>
        </w:rPr>
        <w:drawing>
          <wp:inline distT="0" distB="0" distL="0" distR="0" wp14:anchorId="23B5BE77" wp14:editId="07777777">
            <wp:extent cx="3355975" cy="3463290"/>
            <wp:effectExtent l="0" t="0" r="0" b="0"/>
            <wp:docPr id="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55975" cy="3463290"/>
                    </a:xfrm>
                    <a:prstGeom prst="rect">
                      <a:avLst/>
                    </a:prstGeom>
                    <a:noFill/>
                    <a:ln>
                      <a:noFill/>
                    </a:ln>
                  </pic:spPr>
                </pic:pic>
              </a:graphicData>
            </a:graphic>
          </wp:inline>
        </w:drawing>
      </w:r>
    </w:p>
    <w:p w14:paraId="0562CB0E" w14:textId="6CDAE532" w:rsidR="00BA5F92" w:rsidRDefault="006509FE" w:rsidP="00E9319E">
      <w:pPr>
        <w:spacing w:line="480" w:lineRule="auto"/>
        <w:rPr>
          <w:sz w:val="22"/>
          <w:szCs w:val="22"/>
        </w:rPr>
      </w:pPr>
      <w:r w:rsidRPr="000F4484">
        <w:rPr>
          <w:noProof/>
          <w:sz w:val="22"/>
          <w:szCs w:val="22"/>
        </w:rPr>
        <w:drawing>
          <wp:inline distT="0" distB="0" distL="0" distR="0" wp14:anchorId="1FD9314D" wp14:editId="07777777">
            <wp:extent cx="3725545" cy="3569970"/>
            <wp:effectExtent l="0" t="0" r="0" b="0"/>
            <wp:docPr id="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5545" cy="3569970"/>
                    </a:xfrm>
                    <a:prstGeom prst="rect">
                      <a:avLst/>
                    </a:prstGeom>
                    <a:noFill/>
                    <a:ln>
                      <a:noFill/>
                    </a:ln>
                  </pic:spPr>
                </pic:pic>
              </a:graphicData>
            </a:graphic>
          </wp:inline>
        </w:drawing>
      </w:r>
    </w:p>
    <w:p w14:paraId="4AD11E75" w14:textId="61BFA93C" w:rsidR="00BA5F92" w:rsidRPr="00D80AFD" w:rsidRDefault="00BA5F92" w:rsidP="009B7B32">
      <w:pPr>
        <w:spacing w:line="480" w:lineRule="auto"/>
        <w:rPr>
          <w:sz w:val="22"/>
          <w:szCs w:val="22"/>
        </w:rPr>
      </w:pPr>
      <w:r w:rsidRPr="00D80AFD">
        <w:rPr>
          <w:sz w:val="22"/>
          <w:szCs w:val="22"/>
        </w:rPr>
        <w:br w:type="column"/>
      </w:r>
      <w:r w:rsidR="009B7B32" w:rsidRPr="00D80AFD">
        <w:rPr>
          <w:sz w:val="22"/>
          <w:szCs w:val="22"/>
        </w:rPr>
        <w:lastRenderedPageBreak/>
        <w:t xml:space="preserve"> </w:t>
      </w:r>
    </w:p>
    <w:p w14:paraId="7E70F3CC" w14:textId="475B3085" w:rsidR="007E77DF" w:rsidRPr="00B8323C" w:rsidRDefault="007E77DF" w:rsidP="009B7B32">
      <w:pPr>
        <w:widowControl w:val="0"/>
        <w:autoSpaceDE w:val="0"/>
        <w:autoSpaceDN w:val="0"/>
        <w:adjustRightInd w:val="0"/>
        <w:spacing w:after="120" w:line="480" w:lineRule="auto"/>
        <w:rPr>
          <w:b/>
          <w:sz w:val="22"/>
          <w:szCs w:val="22"/>
        </w:rPr>
      </w:pPr>
      <w:r w:rsidRPr="00B8323C">
        <w:rPr>
          <w:b/>
          <w:sz w:val="22"/>
          <w:szCs w:val="22"/>
        </w:rPr>
        <w:t xml:space="preserve">Figure S5. Sensitivity analyses. </w:t>
      </w:r>
    </w:p>
    <w:p w14:paraId="5ED953BB" w14:textId="4557F50C" w:rsidR="00E85918" w:rsidRDefault="00E85918" w:rsidP="009B7B32">
      <w:pPr>
        <w:widowControl w:val="0"/>
        <w:autoSpaceDE w:val="0"/>
        <w:autoSpaceDN w:val="0"/>
        <w:adjustRightInd w:val="0"/>
        <w:spacing w:after="120" w:line="480" w:lineRule="auto"/>
        <w:rPr>
          <w:b/>
          <w:sz w:val="22"/>
          <w:szCs w:val="22"/>
        </w:rPr>
      </w:pPr>
      <w:r>
        <w:rPr>
          <w:b/>
          <w:sz w:val="22"/>
          <w:szCs w:val="22"/>
        </w:rPr>
        <w:t xml:space="preserve">Study 1: </w:t>
      </w:r>
      <w:r w:rsidR="00121CA9" w:rsidRPr="00121CA9">
        <w:rPr>
          <w:b/>
          <w:sz w:val="22"/>
          <w:szCs w:val="22"/>
        </w:rPr>
        <w:t>effect of reward (big&gt;small) only during neutral cues</w:t>
      </w:r>
      <w:r w:rsidR="00934F87">
        <w:rPr>
          <w:b/>
          <w:sz w:val="22"/>
          <w:szCs w:val="22"/>
        </w:rPr>
        <w:t xml:space="preserve"> in AUD &lt; HC</w:t>
      </w:r>
      <w:r w:rsidR="006F1A5E">
        <w:rPr>
          <w:b/>
          <w:sz w:val="22"/>
          <w:szCs w:val="22"/>
        </w:rPr>
        <w:t xml:space="preserve">, shown at p&lt;.001 uncorrected. Results remain </w:t>
      </w:r>
      <w:proofErr w:type="gramStart"/>
      <w:r w:rsidR="006408D2">
        <w:rPr>
          <w:b/>
          <w:sz w:val="22"/>
          <w:szCs w:val="22"/>
        </w:rPr>
        <w:t>similar to</w:t>
      </w:r>
      <w:proofErr w:type="gramEnd"/>
      <w:r w:rsidR="006408D2">
        <w:rPr>
          <w:b/>
          <w:sz w:val="22"/>
          <w:szCs w:val="22"/>
        </w:rPr>
        <w:t xml:space="preserve"> the main effects reported in the manuscript (Fig 2)</w:t>
      </w:r>
      <w:r w:rsidR="008C077D">
        <w:rPr>
          <w:b/>
          <w:sz w:val="22"/>
          <w:szCs w:val="22"/>
        </w:rPr>
        <w:t xml:space="preserve">, with blunted striatal activity in AUDs vs HCs </w:t>
      </w:r>
      <w:r w:rsidR="006F1A5E">
        <w:rPr>
          <w:b/>
          <w:sz w:val="22"/>
          <w:szCs w:val="22"/>
        </w:rPr>
        <w:t>surviv</w:t>
      </w:r>
      <w:r w:rsidR="008C077D">
        <w:rPr>
          <w:b/>
          <w:sz w:val="22"/>
          <w:szCs w:val="22"/>
        </w:rPr>
        <w:t>ing</w:t>
      </w:r>
      <w:r w:rsidR="006F1A5E">
        <w:rPr>
          <w:b/>
          <w:sz w:val="22"/>
          <w:szCs w:val="22"/>
        </w:rPr>
        <w:t xml:space="preserve"> whole brain FWE</w:t>
      </w:r>
      <w:r w:rsidR="008C077D">
        <w:rPr>
          <w:b/>
          <w:sz w:val="22"/>
          <w:szCs w:val="22"/>
        </w:rPr>
        <w:t>-</w:t>
      </w:r>
      <w:r w:rsidR="006F1A5E">
        <w:rPr>
          <w:b/>
          <w:sz w:val="22"/>
          <w:szCs w:val="22"/>
        </w:rPr>
        <w:t xml:space="preserve">correction. </w:t>
      </w:r>
    </w:p>
    <w:p w14:paraId="0FC6DF01" w14:textId="168921CE" w:rsidR="006F1A5E" w:rsidRDefault="00E85918" w:rsidP="009B7B32">
      <w:pPr>
        <w:widowControl w:val="0"/>
        <w:autoSpaceDE w:val="0"/>
        <w:autoSpaceDN w:val="0"/>
        <w:adjustRightInd w:val="0"/>
        <w:spacing w:after="120" w:line="480" w:lineRule="auto"/>
        <w:rPr>
          <w:b/>
          <w:sz w:val="22"/>
          <w:szCs w:val="22"/>
        </w:rPr>
      </w:pPr>
      <w:r w:rsidRPr="008F1F80">
        <w:rPr>
          <w:noProof/>
          <w:color w:val="0070C0"/>
          <w:sz w:val="22"/>
          <w:szCs w:val="22"/>
        </w:rPr>
        <w:drawing>
          <wp:inline distT="0" distB="0" distL="0" distR="0" wp14:anchorId="2E2CCA97" wp14:editId="30129E79">
            <wp:extent cx="2752253" cy="2491238"/>
            <wp:effectExtent l="0" t="0" r="3810" b="0"/>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7"/>
                    <a:stretch>
                      <a:fillRect/>
                    </a:stretch>
                  </pic:blipFill>
                  <pic:spPr>
                    <a:xfrm>
                      <a:off x="0" y="0"/>
                      <a:ext cx="2769347" cy="2506711"/>
                    </a:xfrm>
                    <a:prstGeom prst="rect">
                      <a:avLst/>
                    </a:prstGeom>
                  </pic:spPr>
                </pic:pic>
              </a:graphicData>
            </a:graphic>
          </wp:inline>
        </w:drawing>
      </w:r>
    </w:p>
    <w:p w14:paraId="26DAA350" w14:textId="36AEF473" w:rsidR="00054436" w:rsidRDefault="007E77DF" w:rsidP="009B7B32">
      <w:pPr>
        <w:widowControl w:val="0"/>
        <w:autoSpaceDE w:val="0"/>
        <w:autoSpaceDN w:val="0"/>
        <w:adjustRightInd w:val="0"/>
        <w:spacing w:after="120" w:line="480" w:lineRule="auto"/>
        <w:rPr>
          <w:b/>
          <w:sz w:val="22"/>
          <w:szCs w:val="22"/>
        </w:rPr>
      </w:pPr>
      <w:r w:rsidRPr="00EB64B6">
        <w:rPr>
          <w:b/>
          <w:sz w:val="22"/>
          <w:szCs w:val="22"/>
        </w:rPr>
        <w:t>Study 2</w:t>
      </w:r>
      <w:r w:rsidR="00EB64B6">
        <w:rPr>
          <w:b/>
          <w:sz w:val="22"/>
          <w:szCs w:val="22"/>
        </w:rPr>
        <w:t>:</w:t>
      </w:r>
      <w:r w:rsidRPr="00EB64B6">
        <w:rPr>
          <w:b/>
          <w:sz w:val="22"/>
          <w:szCs w:val="22"/>
        </w:rPr>
        <w:t xml:space="preserve"> </w:t>
      </w:r>
      <w:r w:rsidR="00054436" w:rsidRPr="00121CA9">
        <w:rPr>
          <w:b/>
          <w:sz w:val="22"/>
          <w:szCs w:val="22"/>
        </w:rPr>
        <w:t>effect of reward (big&gt;small) only during neutral cues</w:t>
      </w:r>
      <w:r w:rsidR="00054436">
        <w:rPr>
          <w:b/>
          <w:sz w:val="22"/>
          <w:szCs w:val="22"/>
        </w:rPr>
        <w:t xml:space="preserve">, shown at p&lt;.01 uncorrected. </w:t>
      </w:r>
      <w:r w:rsidR="00934F87" w:rsidRPr="00934F87">
        <w:rPr>
          <w:b/>
          <w:sz w:val="22"/>
          <w:szCs w:val="22"/>
        </w:rPr>
        <w:t xml:space="preserve">The pattern of results from study 2 also remains the same, although only at an uncorrected </w:t>
      </w:r>
      <w:proofErr w:type="gramStart"/>
      <w:r w:rsidR="00934F87" w:rsidRPr="00934F87">
        <w:rPr>
          <w:b/>
          <w:sz w:val="22"/>
          <w:szCs w:val="22"/>
        </w:rPr>
        <w:t xml:space="preserve">threshold </w:t>
      </w:r>
      <w:r w:rsidR="00934F87">
        <w:rPr>
          <w:b/>
          <w:sz w:val="22"/>
          <w:szCs w:val="22"/>
        </w:rPr>
        <w:t xml:space="preserve"> of</w:t>
      </w:r>
      <w:proofErr w:type="gramEnd"/>
      <w:r w:rsidR="00934F87">
        <w:rPr>
          <w:b/>
          <w:sz w:val="22"/>
          <w:szCs w:val="22"/>
        </w:rPr>
        <w:t xml:space="preserve"> </w:t>
      </w:r>
      <w:r w:rsidR="00934F87" w:rsidRPr="00934F87">
        <w:rPr>
          <w:b/>
          <w:sz w:val="22"/>
          <w:szCs w:val="22"/>
        </w:rPr>
        <w:t>p&lt;.01</w:t>
      </w:r>
      <w:r w:rsidR="00934F87">
        <w:rPr>
          <w:b/>
          <w:sz w:val="22"/>
          <w:szCs w:val="22"/>
        </w:rPr>
        <w:t>, but</w:t>
      </w:r>
      <w:r w:rsidR="00934F87" w:rsidRPr="00934F87">
        <w:rPr>
          <w:b/>
          <w:sz w:val="22"/>
          <w:szCs w:val="22"/>
        </w:rPr>
        <w:t xml:space="preserve"> with cluster-level FWE correction.</w:t>
      </w:r>
    </w:p>
    <w:p w14:paraId="2B08B374" w14:textId="7D4C2E88" w:rsidR="00054436" w:rsidRDefault="00054436" w:rsidP="009B7B32">
      <w:pPr>
        <w:widowControl w:val="0"/>
        <w:autoSpaceDE w:val="0"/>
        <w:autoSpaceDN w:val="0"/>
        <w:adjustRightInd w:val="0"/>
        <w:spacing w:after="120" w:line="480" w:lineRule="auto"/>
        <w:rPr>
          <w:b/>
          <w:sz w:val="22"/>
          <w:szCs w:val="22"/>
        </w:rPr>
      </w:pPr>
      <w:r w:rsidRPr="00054436">
        <w:rPr>
          <w:b/>
          <w:noProof/>
          <w:sz w:val="22"/>
          <w:szCs w:val="22"/>
        </w:rPr>
        <w:drawing>
          <wp:inline distT="0" distB="0" distL="0" distR="0" wp14:anchorId="6EA20F10" wp14:editId="380AD810">
            <wp:extent cx="2464871" cy="2082297"/>
            <wp:effectExtent l="0" t="0" r="0" b="635"/>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10;&#10;Description automatically generated"/>
                    <pic:cNvPicPr/>
                  </pic:nvPicPr>
                  <pic:blipFill>
                    <a:blip r:embed="rId18"/>
                    <a:stretch>
                      <a:fillRect/>
                    </a:stretch>
                  </pic:blipFill>
                  <pic:spPr>
                    <a:xfrm>
                      <a:off x="0" y="0"/>
                      <a:ext cx="2475641" cy="2091395"/>
                    </a:xfrm>
                    <a:prstGeom prst="rect">
                      <a:avLst/>
                    </a:prstGeom>
                  </pic:spPr>
                </pic:pic>
              </a:graphicData>
            </a:graphic>
          </wp:inline>
        </w:drawing>
      </w:r>
    </w:p>
    <w:p w14:paraId="3BFE8A85" w14:textId="2CB8079C" w:rsidR="007E77DF" w:rsidRPr="00EB64B6" w:rsidRDefault="00147AEA" w:rsidP="009B7B32">
      <w:pPr>
        <w:widowControl w:val="0"/>
        <w:autoSpaceDE w:val="0"/>
        <w:autoSpaceDN w:val="0"/>
        <w:adjustRightInd w:val="0"/>
        <w:spacing w:after="120" w:line="480" w:lineRule="auto"/>
        <w:rPr>
          <w:b/>
          <w:sz w:val="22"/>
          <w:szCs w:val="22"/>
        </w:rPr>
      </w:pPr>
      <w:r>
        <w:rPr>
          <w:b/>
          <w:sz w:val="22"/>
          <w:szCs w:val="22"/>
        </w:rPr>
        <w:t xml:space="preserve">IQ. Decreased activity in GD vs HC during </w:t>
      </w:r>
      <w:r w:rsidR="007E77DF" w:rsidRPr="00EB64B6">
        <w:rPr>
          <w:b/>
          <w:sz w:val="22"/>
          <w:szCs w:val="22"/>
        </w:rPr>
        <w:t>reward-anticipation</w:t>
      </w:r>
      <w:r w:rsidR="00EB64B6">
        <w:rPr>
          <w:b/>
          <w:sz w:val="22"/>
          <w:szCs w:val="22"/>
        </w:rPr>
        <w:t xml:space="preserve"> with IQ as a covariate</w:t>
      </w:r>
      <w:r>
        <w:rPr>
          <w:b/>
          <w:sz w:val="22"/>
          <w:szCs w:val="22"/>
        </w:rPr>
        <w:t xml:space="preserve">, </w:t>
      </w:r>
      <w:r w:rsidR="00EB64B6">
        <w:rPr>
          <w:b/>
          <w:sz w:val="22"/>
          <w:szCs w:val="22"/>
        </w:rPr>
        <w:t xml:space="preserve">shown at p&lt;.01 uncorrected. </w:t>
      </w:r>
      <w:r>
        <w:rPr>
          <w:b/>
          <w:sz w:val="22"/>
          <w:szCs w:val="22"/>
        </w:rPr>
        <w:t xml:space="preserve">Although qualitatively similar, the </w:t>
      </w:r>
      <w:r w:rsidR="00D95832">
        <w:rPr>
          <w:b/>
          <w:sz w:val="22"/>
          <w:szCs w:val="22"/>
        </w:rPr>
        <w:t xml:space="preserve">blunted activity in GD patients was no </w:t>
      </w:r>
      <w:r w:rsidR="00D95832">
        <w:rPr>
          <w:b/>
          <w:sz w:val="22"/>
          <w:szCs w:val="22"/>
        </w:rPr>
        <w:lastRenderedPageBreak/>
        <w:t xml:space="preserve">longer significant when </w:t>
      </w:r>
      <w:r w:rsidR="00DB4F79">
        <w:rPr>
          <w:b/>
          <w:sz w:val="22"/>
          <w:szCs w:val="22"/>
        </w:rPr>
        <w:t>correcting</w:t>
      </w:r>
      <w:r w:rsidR="00D95832">
        <w:rPr>
          <w:b/>
          <w:sz w:val="22"/>
          <w:szCs w:val="22"/>
        </w:rPr>
        <w:t xml:space="preserve"> for IQ. </w:t>
      </w:r>
    </w:p>
    <w:p w14:paraId="2E516E03" w14:textId="234A8F87" w:rsidR="007E77DF" w:rsidRDefault="007E77DF" w:rsidP="009B7B32">
      <w:pPr>
        <w:widowControl w:val="0"/>
        <w:autoSpaceDE w:val="0"/>
        <w:autoSpaceDN w:val="0"/>
        <w:adjustRightInd w:val="0"/>
        <w:spacing w:after="120" w:line="480" w:lineRule="auto"/>
        <w:rPr>
          <w:b/>
          <w:sz w:val="22"/>
          <w:szCs w:val="22"/>
          <w:lang w:val="nl-NL"/>
        </w:rPr>
      </w:pPr>
      <w:r w:rsidRPr="00515472">
        <w:rPr>
          <w:noProof/>
          <w:color w:val="0070C0"/>
          <w:sz w:val="22"/>
          <w:szCs w:val="22"/>
        </w:rPr>
        <w:drawing>
          <wp:inline distT="0" distB="0" distL="0" distR="0" wp14:anchorId="4621D5B2" wp14:editId="0FD0CBAF">
            <wp:extent cx="2960483" cy="2556066"/>
            <wp:effectExtent l="0" t="0" r="0" b="0"/>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9"/>
                    <a:stretch>
                      <a:fillRect/>
                    </a:stretch>
                  </pic:blipFill>
                  <pic:spPr>
                    <a:xfrm>
                      <a:off x="0" y="0"/>
                      <a:ext cx="2967988" cy="2562545"/>
                    </a:xfrm>
                    <a:prstGeom prst="rect">
                      <a:avLst/>
                    </a:prstGeom>
                  </pic:spPr>
                </pic:pic>
              </a:graphicData>
            </a:graphic>
          </wp:inline>
        </w:drawing>
      </w:r>
    </w:p>
    <w:p w14:paraId="71C3CC0F" w14:textId="77777777" w:rsidR="007E77DF" w:rsidRDefault="007E77DF" w:rsidP="009B7B32">
      <w:pPr>
        <w:widowControl w:val="0"/>
        <w:autoSpaceDE w:val="0"/>
        <w:autoSpaceDN w:val="0"/>
        <w:adjustRightInd w:val="0"/>
        <w:spacing w:after="120" w:line="480" w:lineRule="auto"/>
        <w:rPr>
          <w:b/>
          <w:sz w:val="22"/>
          <w:szCs w:val="22"/>
          <w:lang w:val="nl-NL"/>
        </w:rPr>
      </w:pPr>
    </w:p>
    <w:p w14:paraId="071E4E01" w14:textId="04F623B0" w:rsidR="00463B50" w:rsidRPr="00E9319E" w:rsidRDefault="0002687C" w:rsidP="009B7B32">
      <w:pPr>
        <w:widowControl w:val="0"/>
        <w:autoSpaceDE w:val="0"/>
        <w:autoSpaceDN w:val="0"/>
        <w:adjustRightInd w:val="0"/>
        <w:spacing w:after="120" w:line="480" w:lineRule="auto"/>
        <w:rPr>
          <w:b/>
          <w:sz w:val="22"/>
          <w:szCs w:val="22"/>
          <w:lang w:val="nl-NL"/>
        </w:rPr>
      </w:pPr>
      <w:r w:rsidRPr="00E9319E">
        <w:rPr>
          <w:b/>
          <w:sz w:val="22"/>
          <w:szCs w:val="22"/>
          <w:lang w:val="nl-NL"/>
        </w:rPr>
        <w:t>References</w:t>
      </w:r>
    </w:p>
    <w:p w14:paraId="27E2D020" w14:textId="77777777" w:rsidR="00E1002C" w:rsidRPr="00E1002C" w:rsidRDefault="00463B50" w:rsidP="00E1002C">
      <w:pPr>
        <w:widowControl w:val="0"/>
        <w:autoSpaceDE w:val="0"/>
        <w:autoSpaceDN w:val="0"/>
        <w:adjustRightInd w:val="0"/>
        <w:spacing w:after="120" w:line="480" w:lineRule="auto"/>
        <w:ind w:left="480" w:hanging="480"/>
        <w:rPr>
          <w:rFonts w:cs="Calibri"/>
          <w:noProof/>
          <w:sz w:val="22"/>
          <w:lang w:val="en-GB"/>
        </w:rPr>
      </w:pPr>
      <w:r w:rsidRPr="00E9319E">
        <w:rPr>
          <w:sz w:val="22"/>
          <w:szCs w:val="22"/>
        </w:rPr>
        <w:fldChar w:fldCharType="begin" w:fldLock="1"/>
      </w:r>
      <w:r w:rsidRPr="00E9319E">
        <w:rPr>
          <w:sz w:val="22"/>
          <w:szCs w:val="22"/>
          <w:lang w:val="nl-NL"/>
        </w:rPr>
        <w:instrText xml:space="preserve">ADDIN Mendeley Bibliography CSL_BIBLIOGRAPHY </w:instrText>
      </w:r>
      <w:r w:rsidRPr="00E9319E">
        <w:rPr>
          <w:sz w:val="22"/>
          <w:szCs w:val="22"/>
        </w:rPr>
        <w:fldChar w:fldCharType="separate"/>
      </w:r>
      <w:r w:rsidR="00E1002C" w:rsidRPr="00EA0016">
        <w:rPr>
          <w:rFonts w:cs="Calibri"/>
          <w:noProof/>
          <w:sz w:val="22"/>
          <w:lang w:val="nl-NL"/>
        </w:rPr>
        <w:t xml:space="preserve">Billieux, J., Khazaal, Y., Oliveira, S., De Timary, P., Edel, Y., Zebouni, F., … Van Der Linden, M. (2011). </w:t>
      </w:r>
      <w:r w:rsidR="00E1002C" w:rsidRPr="00E1002C">
        <w:rPr>
          <w:rFonts w:cs="Calibri"/>
          <w:noProof/>
          <w:sz w:val="22"/>
          <w:lang w:val="en-GB"/>
        </w:rPr>
        <w:t xml:space="preserve">The Geneva Appetitive Alcohol Pictures (GAAP): Development and preliminary validation. </w:t>
      </w:r>
      <w:r w:rsidR="00E1002C" w:rsidRPr="00E1002C">
        <w:rPr>
          <w:rFonts w:cs="Calibri"/>
          <w:i/>
          <w:iCs/>
          <w:noProof/>
          <w:sz w:val="22"/>
          <w:lang w:val="en-GB"/>
        </w:rPr>
        <w:t>European Addiction Research</w:t>
      </w:r>
      <w:r w:rsidR="00E1002C" w:rsidRPr="00E1002C">
        <w:rPr>
          <w:rFonts w:cs="Calibri"/>
          <w:noProof/>
          <w:sz w:val="22"/>
          <w:lang w:val="en-GB"/>
        </w:rPr>
        <w:t xml:space="preserve">, </w:t>
      </w:r>
      <w:r w:rsidR="00E1002C" w:rsidRPr="00E1002C">
        <w:rPr>
          <w:rFonts w:cs="Calibri"/>
          <w:i/>
          <w:iCs/>
          <w:noProof/>
          <w:sz w:val="22"/>
          <w:lang w:val="en-GB"/>
        </w:rPr>
        <w:t>17</w:t>
      </w:r>
      <w:r w:rsidR="00E1002C" w:rsidRPr="00E1002C">
        <w:rPr>
          <w:rFonts w:cs="Calibri"/>
          <w:noProof/>
          <w:sz w:val="22"/>
          <w:lang w:val="en-GB"/>
        </w:rPr>
        <w:t>(5), 225–230. https://doi.org/10.1159/000328046</w:t>
      </w:r>
    </w:p>
    <w:p w14:paraId="5B9FBC5D"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1002C">
        <w:rPr>
          <w:rFonts w:cs="Calibri"/>
          <w:noProof/>
          <w:sz w:val="22"/>
          <w:lang w:val="en-GB"/>
        </w:rPr>
        <w:t xml:space="preserve">De Wildt, W. A. J. M., Lehert, P., Schippers, G. M., Nakovics, H., Mann, K., &amp; Van Den Brink, W. (2005). Investigating the structure of craving using structural equation modeling in analysis of the obsessive-compulsive drinking scale: A multinational study. </w:t>
      </w:r>
      <w:r w:rsidRPr="00E1002C">
        <w:rPr>
          <w:rFonts w:cs="Calibri"/>
          <w:i/>
          <w:iCs/>
          <w:noProof/>
          <w:sz w:val="22"/>
          <w:lang w:val="en-GB"/>
        </w:rPr>
        <w:t>Alcoholism: Clinical and Experimental Research</w:t>
      </w:r>
      <w:r w:rsidRPr="00E1002C">
        <w:rPr>
          <w:rFonts w:cs="Calibri"/>
          <w:noProof/>
          <w:sz w:val="22"/>
          <w:lang w:val="en-GB"/>
        </w:rPr>
        <w:t xml:space="preserve">, </w:t>
      </w:r>
      <w:r w:rsidRPr="00E1002C">
        <w:rPr>
          <w:rFonts w:cs="Calibri"/>
          <w:i/>
          <w:iCs/>
          <w:noProof/>
          <w:sz w:val="22"/>
          <w:lang w:val="en-GB"/>
        </w:rPr>
        <w:t>29</w:t>
      </w:r>
      <w:r w:rsidRPr="00E1002C">
        <w:rPr>
          <w:rFonts w:cs="Calibri"/>
          <w:noProof/>
          <w:sz w:val="22"/>
          <w:lang w:val="en-GB"/>
        </w:rPr>
        <w:t>(4), 509–516. https://doi.org/10.1097/01.ALC.0000158844.35608.48</w:t>
      </w:r>
    </w:p>
    <w:p w14:paraId="63221D6B"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1002C">
        <w:rPr>
          <w:rFonts w:cs="Calibri"/>
          <w:noProof/>
          <w:sz w:val="22"/>
          <w:lang w:val="en-GB"/>
        </w:rPr>
        <w:t xml:space="preserve">Ferris, J., &amp; Wynne, H. (2001). </w:t>
      </w:r>
      <w:r w:rsidRPr="00E1002C">
        <w:rPr>
          <w:rFonts w:cs="Calibri"/>
          <w:i/>
          <w:iCs/>
          <w:noProof/>
          <w:sz w:val="22"/>
          <w:lang w:val="en-GB"/>
        </w:rPr>
        <w:t>The Canadian Problem Gambling Index: Final report</w:t>
      </w:r>
      <w:r w:rsidRPr="00E1002C">
        <w:rPr>
          <w:rFonts w:cs="Calibri"/>
          <w:noProof/>
          <w:sz w:val="22"/>
          <w:lang w:val="en-GB"/>
        </w:rPr>
        <w:t xml:space="preserve">. </w:t>
      </w:r>
      <w:r w:rsidRPr="00E1002C">
        <w:rPr>
          <w:rFonts w:cs="Calibri"/>
          <w:i/>
          <w:iCs/>
          <w:noProof/>
          <w:sz w:val="22"/>
          <w:lang w:val="en-GB"/>
        </w:rPr>
        <w:t>Canadian Centre on Substance Abuse</w:t>
      </w:r>
      <w:r w:rsidRPr="00E1002C">
        <w:rPr>
          <w:rFonts w:cs="Calibri"/>
          <w:noProof/>
          <w:sz w:val="22"/>
          <w:lang w:val="en-GB"/>
        </w:rPr>
        <w:t>. Ottawa. https://doi.org/10.1007/s10899-010-9224-y</w:t>
      </w:r>
    </w:p>
    <w:p w14:paraId="2951DE58"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A0016">
        <w:rPr>
          <w:rFonts w:cs="Calibri"/>
          <w:noProof/>
          <w:sz w:val="22"/>
          <w:lang w:val="nl-NL"/>
        </w:rPr>
        <w:t xml:space="preserve">Goudriaan, A. E., de Ruiter, M. B., van den Brink, W., Oosterlaan, J., &amp; Veltman, D. J. (2010). </w:t>
      </w:r>
      <w:r w:rsidRPr="00E1002C">
        <w:rPr>
          <w:rFonts w:cs="Calibri"/>
          <w:noProof/>
          <w:sz w:val="22"/>
          <w:lang w:val="en-GB"/>
        </w:rPr>
        <w:t xml:space="preserve">Brain activation patterns associated with cue reactivity and craving in abstinent problem gamblers, heavy smokers and healthy controls: an fMRI study. </w:t>
      </w:r>
      <w:r w:rsidRPr="00E1002C">
        <w:rPr>
          <w:rFonts w:cs="Calibri"/>
          <w:i/>
          <w:iCs/>
          <w:noProof/>
          <w:sz w:val="22"/>
          <w:lang w:val="en-GB"/>
        </w:rPr>
        <w:t>Addiction Biology</w:t>
      </w:r>
      <w:r w:rsidRPr="00E1002C">
        <w:rPr>
          <w:rFonts w:cs="Calibri"/>
          <w:noProof/>
          <w:sz w:val="22"/>
          <w:lang w:val="en-GB"/>
        </w:rPr>
        <w:t xml:space="preserve">, </w:t>
      </w:r>
      <w:r w:rsidRPr="00E1002C">
        <w:rPr>
          <w:rFonts w:cs="Calibri"/>
          <w:i/>
          <w:iCs/>
          <w:noProof/>
          <w:sz w:val="22"/>
          <w:lang w:val="en-GB"/>
        </w:rPr>
        <w:t>15</w:t>
      </w:r>
      <w:r w:rsidRPr="00E1002C">
        <w:rPr>
          <w:rFonts w:cs="Calibri"/>
          <w:noProof/>
          <w:sz w:val="22"/>
          <w:lang w:val="en-GB"/>
        </w:rPr>
        <w:t>(4), 491–503. https://doi.org/10.1111/j.1369-1600.2010.00242.x</w:t>
      </w:r>
    </w:p>
    <w:p w14:paraId="38134B99"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1002C">
        <w:rPr>
          <w:rFonts w:cs="Calibri"/>
          <w:noProof/>
          <w:sz w:val="22"/>
          <w:lang w:val="en-GB"/>
        </w:rPr>
        <w:lastRenderedPageBreak/>
        <w:t xml:space="preserve">Poser, B. a., Versluis, M. J., Hoogduin, J. M., &amp; Norris, D. G. (2006). BOLD contrast sensitivity enhancement and artifact reduction with multiecho EPI: Parallel-acquired inhomogeneity-desensitized fMRI. </w:t>
      </w:r>
      <w:r w:rsidRPr="00E1002C">
        <w:rPr>
          <w:rFonts w:cs="Calibri"/>
          <w:i/>
          <w:iCs/>
          <w:noProof/>
          <w:sz w:val="22"/>
          <w:lang w:val="en-GB"/>
        </w:rPr>
        <w:t>Magnetic Resonance in Medicine</w:t>
      </w:r>
      <w:r w:rsidRPr="00E1002C">
        <w:rPr>
          <w:rFonts w:cs="Calibri"/>
          <w:noProof/>
          <w:sz w:val="22"/>
          <w:lang w:val="en-GB"/>
        </w:rPr>
        <w:t xml:space="preserve">, </w:t>
      </w:r>
      <w:r w:rsidRPr="00E1002C">
        <w:rPr>
          <w:rFonts w:cs="Calibri"/>
          <w:i/>
          <w:iCs/>
          <w:noProof/>
          <w:sz w:val="22"/>
          <w:lang w:val="en-GB"/>
        </w:rPr>
        <w:t>55</w:t>
      </w:r>
      <w:r w:rsidRPr="00E1002C">
        <w:rPr>
          <w:rFonts w:cs="Calibri"/>
          <w:noProof/>
          <w:sz w:val="22"/>
          <w:lang w:val="en-GB"/>
        </w:rPr>
        <w:t>(6), 1227–1235. https://doi.org/10.1002/mrm.20900</w:t>
      </w:r>
    </w:p>
    <w:p w14:paraId="3466BBE0"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1002C">
        <w:rPr>
          <w:rFonts w:cs="Calibri"/>
          <w:noProof/>
          <w:sz w:val="22"/>
          <w:lang w:val="en-GB"/>
        </w:rPr>
        <w:t xml:space="preserve">Saunders, J. B., Aasland, O. G., Babor, T. F., de la Fuente, J. R., &amp; Grant, M. (1993). Development of the Alcohol Use Disorders Identification Test (AUDIT): WHO Collaborative Project on Early Detection of Persons with Harmful Alcohol Consumption--II. </w:t>
      </w:r>
      <w:r w:rsidRPr="00E1002C">
        <w:rPr>
          <w:rFonts w:cs="Calibri"/>
          <w:i/>
          <w:iCs/>
          <w:noProof/>
          <w:sz w:val="22"/>
          <w:lang w:val="en-GB"/>
        </w:rPr>
        <w:t>Addiction (Abingdon, England)</w:t>
      </w:r>
      <w:r w:rsidRPr="00E1002C">
        <w:rPr>
          <w:rFonts w:cs="Calibri"/>
          <w:noProof/>
          <w:sz w:val="22"/>
          <w:lang w:val="en-GB"/>
        </w:rPr>
        <w:t xml:space="preserve">, </w:t>
      </w:r>
      <w:r w:rsidRPr="00E1002C">
        <w:rPr>
          <w:rFonts w:cs="Calibri"/>
          <w:i/>
          <w:iCs/>
          <w:noProof/>
          <w:sz w:val="22"/>
          <w:lang w:val="en-GB"/>
        </w:rPr>
        <w:t>88</w:t>
      </w:r>
      <w:r w:rsidRPr="00E1002C">
        <w:rPr>
          <w:rFonts w:cs="Calibri"/>
          <w:noProof/>
          <w:sz w:val="22"/>
          <w:lang w:val="en-GB"/>
        </w:rPr>
        <w:t>(6), 791–804. Retrieved from http://www.ncbi.nlm.nih.gov/pubmed/8329970</w:t>
      </w:r>
    </w:p>
    <w:p w14:paraId="0D158768" w14:textId="77777777" w:rsidR="00E1002C" w:rsidRPr="00EA0016" w:rsidRDefault="00E1002C" w:rsidP="00E1002C">
      <w:pPr>
        <w:widowControl w:val="0"/>
        <w:autoSpaceDE w:val="0"/>
        <w:autoSpaceDN w:val="0"/>
        <w:adjustRightInd w:val="0"/>
        <w:spacing w:after="120" w:line="480" w:lineRule="auto"/>
        <w:ind w:left="480" w:hanging="480"/>
        <w:rPr>
          <w:rFonts w:cs="Calibri"/>
          <w:noProof/>
          <w:sz w:val="22"/>
          <w:lang w:val="nl-NL"/>
        </w:rPr>
      </w:pPr>
      <w:r w:rsidRPr="00E1002C">
        <w:rPr>
          <w:rFonts w:cs="Calibri"/>
          <w:noProof/>
          <w:sz w:val="22"/>
          <w:lang w:val="en-GB"/>
        </w:rPr>
        <w:t xml:space="preserve">Schmand, B., Bakker, D., Saan, R., &amp; Louman, J. (1991). [The Dutch Reading Test for Adults: a measure of premorbid intelligence level]. </w:t>
      </w:r>
      <w:r w:rsidRPr="00EA0016">
        <w:rPr>
          <w:rFonts w:cs="Calibri"/>
          <w:i/>
          <w:iCs/>
          <w:noProof/>
          <w:sz w:val="22"/>
          <w:lang w:val="nl-NL"/>
        </w:rPr>
        <w:t>Tijdschrift Voor Gerontologie En Geriatrie</w:t>
      </w:r>
      <w:r w:rsidRPr="00EA0016">
        <w:rPr>
          <w:rFonts w:cs="Calibri"/>
          <w:noProof/>
          <w:sz w:val="22"/>
          <w:lang w:val="nl-NL"/>
        </w:rPr>
        <w:t xml:space="preserve">, </w:t>
      </w:r>
      <w:r w:rsidRPr="00EA0016">
        <w:rPr>
          <w:rFonts w:cs="Calibri"/>
          <w:i/>
          <w:iCs/>
          <w:noProof/>
          <w:sz w:val="22"/>
          <w:lang w:val="nl-NL"/>
        </w:rPr>
        <w:t>22</w:t>
      </w:r>
      <w:r w:rsidRPr="00EA0016">
        <w:rPr>
          <w:rFonts w:cs="Calibri"/>
          <w:noProof/>
          <w:sz w:val="22"/>
          <w:lang w:val="nl-NL"/>
        </w:rPr>
        <w:t>(1), 15–19. Retrieved from http://www.ncbi.nlm.nih.gov/pubmed/1877068</w:t>
      </w:r>
    </w:p>
    <w:p w14:paraId="6FC524A2"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1002C">
        <w:rPr>
          <w:rFonts w:cs="Calibri"/>
          <w:noProof/>
          <w:sz w:val="22"/>
          <w:lang w:val="en-GB"/>
        </w:rPr>
        <w:t xml:space="preserve">Sheehan, D., Lecrubier, Y., &amp; Sheehan, K. (1998). Diagnostic psychiatric interview for DSM-IV and ICD-10. </w:t>
      </w:r>
      <w:r w:rsidRPr="00E1002C">
        <w:rPr>
          <w:rFonts w:cs="Calibri"/>
          <w:i/>
          <w:iCs/>
          <w:noProof/>
          <w:sz w:val="22"/>
          <w:lang w:val="en-GB"/>
        </w:rPr>
        <w:t>J Clin Psychiatry</w:t>
      </w:r>
      <w:r w:rsidRPr="00E1002C">
        <w:rPr>
          <w:rFonts w:cs="Calibri"/>
          <w:noProof/>
          <w:sz w:val="22"/>
          <w:lang w:val="en-GB"/>
        </w:rPr>
        <w:t xml:space="preserve">, </w:t>
      </w:r>
      <w:r w:rsidRPr="00E1002C">
        <w:rPr>
          <w:rFonts w:cs="Calibri"/>
          <w:i/>
          <w:iCs/>
          <w:noProof/>
          <w:sz w:val="22"/>
          <w:lang w:val="en-GB"/>
        </w:rPr>
        <w:t>59</w:t>
      </w:r>
      <w:r w:rsidRPr="00E1002C">
        <w:rPr>
          <w:rFonts w:cs="Calibri"/>
          <w:noProof/>
          <w:sz w:val="22"/>
          <w:lang w:val="en-GB"/>
        </w:rPr>
        <w:t>, 22–33. Retrieved from https://www.researchgate.net/profile/David_Sheehan2/publication/13406551_The_Mini-International_Neuropsychiatric_Interview_MINI_The_development_and_validation_of_a_structured_diagnostic_psychiatric_interview_for_DSM-IV_and_ICD-10/links/02bfe50d063159c19e0</w:t>
      </w:r>
    </w:p>
    <w:p w14:paraId="75985494"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A0016">
        <w:rPr>
          <w:rFonts w:cs="Calibri"/>
          <w:noProof/>
          <w:sz w:val="22"/>
          <w:lang w:val="nl-NL"/>
        </w:rPr>
        <w:t xml:space="preserve">Sjoerds, Z., van den Brink, W., Beekman, A. T. F., Penninx, B. W. J. H., &amp; Veltman, D. J. (2014). </w:t>
      </w:r>
      <w:r w:rsidRPr="00E1002C">
        <w:rPr>
          <w:rFonts w:cs="Calibri"/>
          <w:noProof/>
          <w:sz w:val="22"/>
          <w:lang w:val="en-GB"/>
        </w:rPr>
        <w:t xml:space="preserve">Cue reactivity is associated with duration and severity of alcohol dependence: an FMRI study. </w:t>
      </w:r>
      <w:r w:rsidRPr="00E1002C">
        <w:rPr>
          <w:rFonts w:cs="Calibri"/>
          <w:i/>
          <w:iCs/>
          <w:noProof/>
          <w:sz w:val="22"/>
          <w:lang w:val="en-GB"/>
        </w:rPr>
        <w:t>PloS One</w:t>
      </w:r>
      <w:r w:rsidRPr="00E1002C">
        <w:rPr>
          <w:rFonts w:cs="Calibri"/>
          <w:noProof/>
          <w:sz w:val="22"/>
          <w:lang w:val="en-GB"/>
        </w:rPr>
        <w:t xml:space="preserve">, </w:t>
      </w:r>
      <w:r w:rsidRPr="00E1002C">
        <w:rPr>
          <w:rFonts w:cs="Calibri"/>
          <w:i/>
          <w:iCs/>
          <w:noProof/>
          <w:sz w:val="22"/>
          <w:lang w:val="en-GB"/>
        </w:rPr>
        <w:t>9</w:t>
      </w:r>
      <w:r w:rsidRPr="00E1002C">
        <w:rPr>
          <w:rFonts w:cs="Calibri"/>
          <w:noProof/>
          <w:sz w:val="22"/>
          <w:lang w:val="en-GB"/>
        </w:rPr>
        <w:t>(1), e84560. https://doi.org/10.1371/journal.pone.0084560</w:t>
      </w:r>
    </w:p>
    <w:p w14:paraId="0F468A87"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1002C">
        <w:rPr>
          <w:rFonts w:cs="Calibri"/>
          <w:noProof/>
          <w:sz w:val="22"/>
          <w:lang w:val="en-GB"/>
        </w:rPr>
        <w:t xml:space="preserve">Skinner, H. a., &amp; Sheu, W. J. (1982). Reliability of alcohol use indices. The Lifetime Drinking History and the MAST. </w:t>
      </w:r>
      <w:r w:rsidRPr="00E1002C">
        <w:rPr>
          <w:rFonts w:cs="Calibri"/>
          <w:i/>
          <w:iCs/>
          <w:noProof/>
          <w:sz w:val="22"/>
          <w:lang w:val="en-GB"/>
        </w:rPr>
        <w:t>Journal of Studies on Alcohol</w:t>
      </w:r>
      <w:r w:rsidRPr="00E1002C">
        <w:rPr>
          <w:rFonts w:cs="Calibri"/>
          <w:noProof/>
          <w:sz w:val="22"/>
          <w:lang w:val="en-GB"/>
        </w:rPr>
        <w:t xml:space="preserve">, </w:t>
      </w:r>
      <w:r w:rsidRPr="00E1002C">
        <w:rPr>
          <w:rFonts w:cs="Calibri"/>
          <w:i/>
          <w:iCs/>
          <w:noProof/>
          <w:sz w:val="22"/>
          <w:lang w:val="en-GB"/>
        </w:rPr>
        <w:t>43</w:t>
      </w:r>
      <w:r w:rsidRPr="00E1002C">
        <w:rPr>
          <w:rFonts w:cs="Calibri"/>
          <w:noProof/>
          <w:sz w:val="22"/>
          <w:lang w:val="en-GB"/>
        </w:rPr>
        <w:t>(11), 1157–1170. Retrieved from http://ovidsp.ovid.com/ovidweb.cgi?T=JS&amp;PAGE=reference&amp;D=psyc2&amp;NEWS=N&amp;AN=1983-29383-001</w:t>
      </w:r>
    </w:p>
    <w:p w14:paraId="20AAC436"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1002C">
        <w:rPr>
          <w:rFonts w:cs="Calibri"/>
          <w:noProof/>
          <w:sz w:val="22"/>
          <w:lang w:val="en-GB"/>
        </w:rPr>
        <w:t xml:space="preserve">Steenbergh, T. A., Meyers, A. W., May, R. K., &amp; Whelan, J. P. (2002). Development and validation of </w:t>
      </w:r>
      <w:r w:rsidRPr="00E1002C">
        <w:rPr>
          <w:rFonts w:cs="Calibri"/>
          <w:noProof/>
          <w:sz w:val="22"/>
          <w:lang w:val="en-GB"/>
        </w:rPr>
        <w:lastRenderedPageBreak/>
        <w:t xml:space="preserve">the Gamblers’ Beliefs Questionnaire. </w:t>
      </w:r>
      <w:r w:rsidRPr="00E1002C">
        <w:rPr>
          <w:rFonts w:cs="Calibri"/>
          <w:i/>
          <w:iCs/>
          <w:noProof/>
          <w:sz w:val="22"/>
          <w:lang w:val="en-GB"/>
        </w:rPr>
        <w:t>Psychology of Addictive Behaviors : Journal of the Society of Psychologists in Addictive Behaviors</w:t>
      </w:r>
      <w:r w:rsidRPr="00E1002C">
        <w:rPr>
          <w:rFonts w:cs="Calibri"/>
          <w:noProof/>
          <w:sz w:val="22"/>
          <w:lang w:val="en-GB"/>
        </w:rPr>
        <w:t xml:space="preserve">, </w:t>
      </w:r>
      <w:r w:rsidRPr="00E1002C">
        <w:rPr>
          <w:rFonts w:cs="Calibri"/>
          <w:i/>
          <w:iCs/>
          <w:noProof/>
          <w:sz w:val="22"/>
          <w:lang w:val="en-GB"/>
        </w:rPr>
        <w:t>16</w:t>
      </w:r>
      <w:r w:rsidRPr="00E1002C">
        <w:rPr>
          <w:rFonts w:cs="Calibri"/>
          <w:noProof/>
          <w:sz w:val="22"/>
          <w:lang w:val="en-GB"/>
        </w:rPr>
        <w:t>(2), 143–149. Retrieved from http://www.ncbi.nlm.nih.gov/pubmed/12079253</w:t>
      </w:r>
    </w:p>
    <w:p w14:paraId="77A0E27A"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1002C">
        <w:rPr>
          <w:rFonts w:cs="Calibri"/>
          <w:noProof/>
          <w:sz w:val="22"/>
          <w:lang w:val="en-GB"/>
        </w:rPr>
        <w:t xml:space="preserve">van Timmeren, T., Quail, S. L., Balleine, B. W., Geurts, D. E. M., Goudriaan, A. E., &amp; van Holst, R. J. (2020). Intact corticostriatal control of goal-directed action in Alcohol Use Disorder : a Pavlovian-to- instrumental transfer and outcome- devaluation study. </w:t>
      </w:r>
      <w:r w:rsidRPr="00E1002C">
        <w:rPr>
          <w:rFonts w:cs="Calibri"/>
          <w:i/>
          <w:iCs/>
          <w:noProof/>
          <w:sz w:val="22"/>
          <w:lang w:val="en-GB"/>
        </w:rPr>
        <w:t>Scientific Reports</w:t>
      </w:r>
      <w:r w:rsidRPr="00E1002C">
        <w:rPr>
          <w:rFonts w:cs="Calibri"/>
          <w:noProof/>
          <w:sz w:val="22"/>
          <w:lang w:val="en-GB"/>
        </w:rPr>
        <w:t xml:space="preserve">, </w:t>
      </w:r>
      <w:r w:rsidRPr="00E1002C">
        <w:rPr>
          <w:rFonts w:cs="Calibri"/>
          <w:i/>
          <w:iCs/>
          <w:noProof/>
          <w:sz w:val="22"/>
          <w:lang w:val="en-GB"/>
        </w:rPr>
        <w:t>10</w:t>
      </w:r>
      <w:r w:rsidRPr="00E1002C">
        <w:rPr>
          <w:rFonts w:cs="Calibri"/>
          <w:noProof/>
          <w:sz w:val="22"/>
          <w:lang w:val="en-GB"/>
        </w:rPr>
        <w:t>(4949), 1–12. https://doi.org/10.1038/s41598-020-61892-5</w:t>
      </w:r>
    </w:p>
    <w:p w14:paraId="058F17B7"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lang w:val="en-GB"/>
        </w:rPr>
      </w:pPr>
      <w:r w:rsidRPr="00E1002C">
        <w:rPr>
          <w:rFonts w:cs="Calibri"/>
          <w:noProof/>
          <w:sz w:val="22"/>
          <w:lang w:val="en-GB"/>
        </w:rPr>
        <w:t xml:space="preserve">van Timmeren, T., Zhutovsky, P., van Holst, R. J., &amp; Goudriaan, A. E. (2018). Connectivity networks in gambling disorder: a resting-state fMRI study. </w:t>
      </w:r>
      <w:r w:rsidRPr="00E1002C">
        <w:rPr>
          <w:rFonts w:cs="Calibri"/>
          <w:i/>
          <w:iCs/>
          <w:noProof/>
          <w:sz w:val="22"/>
          <w:lang w:val="en-GB"/>
        </w:rPr>
        <w:t>International Gambling Studies</w:t>
      </w:r>
      <w:r w:rsidRPr="00E1002C">
        <w:rPr>
          <w:rFonts w:cs="Calibri"/>
          <w:noProof/>
          <w:sz w:val="22"/>
          <w:lang w:val="en-GB"/>
        </w:rPr>
        <w:t xml:space="preserve">, </w:t>
      </w:r>
      <w:r w:rsidRPr="00E1002C">
        <w:rPr>
          <w:rFonts w:cs="Calibri"/>
          <w:i/>
          <w:iCs/>
          <w:noProof/>
          <w:sz w:val="22"/>
          <w:lang w:val="en-GB"/>
        </w:rPr>
        <w:t>18</w:t>
      </w:r>
      <w:r w:rsidRPr="00E1002C">
        <w:rPr>
          <w:rFonts w:cs="Calibri"/>
          <w:noProof/>
          <w:sz w:val="22"/>
          <w:lang w:val="en-GB"/>
        </w:rPr>
        <w:t>(2), 242–258. https://doi.org/10.1080/14459795.2018.1449884</w:t>
      </w:r>
    </w:p>
    <w:p w14:paraId="3BEB26C9" w14:textId="77777777" w:rsidR="00E1002C" w:rsidRPr="00E1002C" w:rsidRDefault="00E1002C" w:rsidP="00E1002C">
      <w:pPr>
        <w:widowControl w:val="0"/>
        <w:autoSpaceDE w:val="0"/>
        <w:autoSpaceDN w:val="0"/>
        <w:adjustRightInd w:val="0"/>
        <w:spacing w:after="120" w:line="480" w:lineRule="auto"/>
        <w:ind w:left="480" w:hanging="480"/>
        <w:rPr>
          <w:rFonts w:cs="Calibri"/>
          <w:noProof/>
          <w:sz w:val="22"/>
        </w:rPr>
      </w:pPr>
      <w:r w:rsidRPr="00E1002C">
        <w:rPr>
          <w:rFonts w:cs="Calibri"/>
          <w:noProof/>
          <w:sz w:val="22"/>
          <w:lang w:val="en-GB"/>
        </w:rPr>
        <w:t xml:space="preserve">Wechsler, D. (1981). WAIS-R Manual. </w:t>
      </w:r>
      <w:r w:rsidRPr="00E1002C">
        <w:rPr>
          <w:rFonts w:cs="Calibri"/>
          <w:i/>
          <w:iCs/>
          <w:noProof/>
          <w:sz w:val="22"/>
          <w:lang w:val="en-GB"/>
        </w:rPr>
        <w:t>The Psychological Corp, San Antonio</w:t>
      </w:r>
      <w:r w:rsidRPr="00E1002C">
        <w:rPr>
          <w:rFonts w:cs="Calibri"/>
          <w:noProof/>
          <w:sz w:val="22"/>
          <w:lang w:val="en-GB"/>
        </w:rPr>
        <w:t>.</w:t>
      </w:r>
    </w:p>
    <w:p w14:paraId="34CE0A41" w14:textId="77777777" w:rsidR="002B20C1" w:rsidRPr="00E9319E" w:rsidRDefault="00463B50" w:rsidP="00E1002C">
      <w:pPr>
        <w:widowControl w:val="0"/>
        <w:autoSpaceDE w:val="0"/>
        <w:autoSpaceDN w:val="0"/>
        <w:adjustRightInd w:val="0"/>
        <w:spacing w:after="120" w:line="480" w:lineRule="auto"/>
        <w:ind w:left="480" w:hanging="480"/>
        <w:rPr>
          <w:sz w:val="22"/>
          <w:szCs w:val="22"/>
        </w:rPr>
      </w:pPr>
      <w:r w:rsidRPr="00E9319E">
        <w:rPr>
          <w:sz w:val="22"/>
          <w:szCs w:val="22"/>
        </w:rPr>
        <w:fldChar w:fldCharType="end"/>
      </w:r>
    </w:p>
    <w:sectPr w:rsidR="002B20C1" w:rsidRPr="00E9319E" w:rsidSect="00F17A08">
      <w:headerReference w:type="even" r:id="rId20"/>
      <w:headerReference w:type="default" r:id="rId21"/>
      <w:footerReference w:type="even" r:id="rId22"/>
      <w:footerReference w:type="default" r:id="rId23"/>
      <w:headerReference w:type="first" r:id="rId24"/>
      <w:footerReference w:type="first" r:id="rId2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BDF56" w14:textId="77777777" w:rsidR="002A4C32" w:rsidRDefault="002A4C32" w:rsidP="00783DCC">
      <w:r>
        <w:separator/>
      </w:r>
    </w:p>
  </w:endnote>
  <w:endnote w:type="continuationSeparator" w:id="0">
    <w:p w14:paraId="1829298B" w14:textId="77777777" w:rsidR="002A4C32" w:rsidRDefault="002A4C32" w:rsidP="00783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Oldalszm"/>
      </w:rPr>
      <w:id w:val="-1322735290"/>
      <w:docPartObj>
        <w:docPartGallery w:val="Page Numbers (Bottom of Page)"/>
        <w:docPartUnique/>
      </w:docPartObj>
    </w:sdtPr>
    <w:sdtEndPr>
      <w:rPr>
        <w:rStyle w:val="Oldalszm"/>
      </w:rPr>
    </w:sdtEndPr>
    <w:sdtContent>
      <w:p w14:paraId="4F18E6E5" w14:textId="12BC3045" w:rsidR="005F6650" w:rsidRDefault="005F6650" w:rsidP="00DD46F4">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2608B3A7" w14:textId="77777777" w:rsidR="00BD561D" w:rsidRDefault="00BD561D" w:rsidP="005F6650">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Oldalszm"/>
      </w:rPr>
      <w:id w:val="-2073114296"/>
      <w:docPartObj>
        <w:docPartGallery w:val="Page Numbers (Bottom of Page)"/>
        <w:docPartUnique/>
      </w:docPartObj>
    </w:sdtPr>
    <w:sdtEndPr>
      <w:rPr>
        <w:rStyle w:val="Oldalszm"/>
      </w:rPr>
    </w:sdtEndPr>
    <w:sdtContent>
      <w:p w14:paraId="255828CC" w14:textId="3950CF90" w:rsidR="005F6650" w:rsidRDefault="005F6650" w:rsidP="00DD46F4">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separate"/>
        </w:r>
        <w:r>
          <w:rPr>
            <w:rStyle w:val="Oldalszm"/>
            <w:noProof/>
          </w:rPr>
          <w:t>10</w:t>
        </w:r>
        <w:r>
          <w:rPr>
            <w:rStyle w:val="Oldalszm"/>
          </w:rPr>
          <w:fldChar w:fldCharType="end"/>
        </w:r>
      </w:p>
    </w:sdtContent>
  </w:sdt>
  <w:p w14:paraId="6BA2C8F8" w14:textId="77777777" w:rsidR="00BD561D" w:rsidRDefault="00BD561D" w:rsidP="005F6650">
    <w:pPr>
      <w:pStyle w:val="ll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DAA99" w14:textId="77777777" w:rsidR="00BD561D" w:rsidRDefault="00BD561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0C1D4" w14:textId="77777777" w:rsidR="002A4C32" w:rsidRDefault="002A4C32" w:rsidP="00783DCC">
      <w:r>
        <w:separator/>
      </w:r>
    </w:p>
  </w:footnote>
  <w:footnote w:type="continuationSeparator" w:id="0">
    <w:p w14:paraId="293A9353" w14:textId="77777777" w:rsidR="002A4C32" w:rsidRDefault="002A4C32" w:rsidP="00783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D7DAE" w14:textId="77777777" w:rsidR="00BD561D" w:rsidRDefault="00BD561D">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8492" w14:textId="78C99C15" w:rsidR="000E0806" w:rsidRPr="00FC243D" w:rsidRDefault="000E0806">
    <w:pPr>
      <w:pStyle w:val="lfej"/>
      <w:rPr>
        <w:sz w:val="22"/>
      </w:rPr>
    </w:pPr>
    <w:r w:rsidRPr="00FC243D">
      <w:rPr>
        <w:sz w:val="22"/>
      </w:rPr>
      <w:t xml:space="preserve">van </w:t>
    </w:r>
    <w:proofErr w:type="spellStart"/>
    <w:r w:rsidRPr="00FC243D">
      <w:rPr>
        <w:sz w:val="22"/>
      </w:rPr>
      <w:t>Timmeren</w:t>
    </w:r>
    <w:proofErr w:type="spellEnd"/>
    <w:r w:rsidRPr="00FC243D">
      <w:rPr>
        <w:sz w:val="22"/>
      </w:rPr>
      <w:t xml:space="preserve"> et al., </w:t>
    </w:r>
    <w:r w:rsidRPr="00FC243D">
      <w:rPr>
        <w:i/>
        <w:sz w:val="22"/>
      </w:rPr>
      <w:t>Striatal ups or downs in AUD &amp; GD</w:t>
    </w:r>
    <w:r w:rsidRPr="00FC243D">
      <w:rPr>
        <w:sz w:val="22"/>
      </w:rPr>
      <w:tab/>
      <w:t xml:space="preserve">Supplementary Information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F673" w14:textId="77777777" w:rsidR="00BD561D" w:rsidRDefault="00BD561D">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QwNbYwARJGZkbmRko6SsGpxcWZ+XkgBaa1AFX0G7QsAAAA"/>
  </w:docVars>
  <w:rsids>
    <w:rsidRoot w:val="00AA6DB0"/>
    <w:rsid w:val="000036FE"/>
    <w:rsid w:val="00006628"/>
    <w:rsid w:val="0002687C"/>
    <w:rsid w:val="00053BEB"/>
    <w:rsid w:val="00054436"/>
    <w:rsid w:val="00067B52"/>
    <w:rsid w:val="000756E3"/>
    <w:rsid w:val="00087876"/>
    <w:rsid w:val="000B6B8E"/>
    <w:rsid w:val="000C3E70"/>
    <w:rsid w:val="000C7BCD"/>
    <w:rsid w:val="000E0806"/>
    <w:rsid w:val="000F2688"/>
    <w:rsid w:val="000F4484"/>
    <w:rsid w:val="001074FB"/>
    <w:rsid w:val="00112870"/>
    <w:rsid w:val="00121CA9"/>
    <w:rsid w:val="001322CC"/>
    <w:rsid w:val="00144BB6"/>
    <w:rsid w:val="00147AEA"/>
    <w:rsid w:val="001820C8"/>
    <w:rsid w:val="00192F00"/>
    <w:rsid w:val="001A10B1"/>
    <w:rsid w:val="001A51B9"/>
    <w:rsid w:val="001B4957"/>
    <w:rsid w:val="001B7DC4"/>
    <w:rsid w:val="001F5D7C"/>
    <w:rsid w:val="00213A55"/>
    <w:rsid w:val="00224B4B"/>
    <w:rsid w:val="00235DC1"/>
    <w:rsid w:val="00246C49"/>
    <w:rsid w:val="0025253F"/>
    <w:rsid w:val="00254193"/>
    <w:rsid w:val="002555E8"/>
    <w:rsid w:val="00257076"/>
    <w:rsid w:val="002635E3"/>
    <w:rsid w:val="00263B1A"/>
    <w:rsid w:val="00293D26"/>
    <w:rsid w:val="002A4C32"/>
    <w:rsid w:val="002A5C60"/>
    <w:rsid w:val="002B155F"/>
    <w:rsid w:val="002B20C1"/>
    <w:rsid w:val="002C634A"/>
    <w:rsid w:val="00305DAA"/>
    <w:rsid w:val="00316B29"/>
    <w:rsid w:val="00321ECA"/>
    <w:rsid w:val="00325867"/>
    <w:rsid w:val="00363E9F"/>
    <w:rsid w:val="00365B0D"/>
    <w:rsid w:val="003722A0"/>
    <w:rsid w:val="003A68BB"/>
    <w:rsid w:val="003B5664"/>
    <w:rsid w:val="003D6D2B"/>
    <w:rsid w:val="0040593B"/>
    <w:rsid w:val="00414BC8"/>
    <w:rsid w:val="00433E00"/>
    <w:rsid w:val="00440EED"/>
    <w:rsid w:val="0045367C"/>
    <w:rsid w:val="00463B50"/>
    <w:rsid w:val="0046559B"/>
    <w:rsid w:val="00481923"/>
    <w:rsid w:val="00495E9E"/>
    <w:rsid w:val="00495EFB"/>
    <w:rsid w:val="004A66CF"/>
    <w:rsid w:val="004B06E9"/>
    <w:rsid w:val="004C7541"/>
    <w:rsid w:val="004D5DC8"/>
    <w:rsid w:val="005123F4"/>
    <w:rsid w:val="00515B6C"/>
    <w:rsid w:val="005170B2"/>
    <w:rsid w:val="00562982"/>
    <w:rsid w:val="00572EE1"/>
    <w:rsid w:val="005B6FBE"/>
    <w:rsid w:val="005C0024"/>
    <w:rsid w:val="005C3F1D"/>
    <w:rsid w:val="005D0D7C"/>
    <w:rsid w:val="005E5854"/>
    <w:rsid w:val="005F6650"/>
    <w:rsid w:val="006012A8"/>
    <w:rsid w:val="006032C7"/>
    <w:rsid w:val="00610271"/>
    <w:rsid w:val="00636FBF"/>
    <w:rsid w:val="006408D2"/>
    <w:rsid w:val="006509FE"/>
    <w:rsid w:val="006515DE"/>
    <w:rsid w:val="0066271F"/>
    <w:rsid w:val="00682F0C"/>
    <w:rsid w:val="006C42DC"/>
    <w:rsid w:val="006D6C94"/>
    <w:rsid w:val="006E0A3C"/>
    <w:rsid w:val="006F1A5E"/>
    <w:rsid w:val="006F1DDB"/>
    <w:rsid w:val="006F5C39"/>
    <w:rsid w:val="00702A3A"/>
    <w:rsid w:val="00733F5B"/>
    <w:rsid w:val="00783419"/>
    <w:rsid w:val="00783DCC"/>
    <w:rsid w:val="007C0A80"/>
    <w:rsid w:val="007C1477"/>
    <w:rsid w:val="007C18A9"/>
    <w:rsid w:val="007D49A5"/>
    <w:rsid w:val="007E50CE"/>
    <w:rsid w:val="007E77DF"/>
    <w:rsid w:val="007F76DA"/>
    <w:rsid w:val="0080130C"/>
    <w:rsid w:val="008307FD"/>
    <w:rsid w:val="00835D10"/>
    <w:rsid w:val="00840947"/>
    <w:rsid w:val="00881B0B"/>
    <w:rsid w:val="008B7B25"/>
    <w:rsid w:val="008C077D"/>
    <w:rsid w:val="008D139D"/>
    <w:rsid w:val="008D5594"/>
    <w:rsid w:val="008E1F0B"/>
    <w:rsid w:val="0090447A"/>
    <w:rsid w:val="0091499D"/>
    <w:rsid w:val="00931B15"/>
    <w:rsid w:val="00932634"/>
    <w:rsid w:val="00934F87"/>
    <w:rsid w:val="009423D5"/>
    <w:rsid w:val="00944366"/>
    <w:rsid w:val="009741A6"/>
    <w:rsid w:val="009848E8"/>
    <w:rsid w:val="009B70F9"/>
    <w:rsid w:val="009B7B32"/>
    <w:rsid w:val="009F4636"/>
    <w:rsid w:val="00A34B36"/>
    <w:rsid w:val="00A55675"/>
    <w:rsid w:val="00A710A3"/>
    <w:rsid w:val="00A83363"/>
    <w:rsid w:val="00AA6DB0"/>
    <w:rsid w:val="00AC2DDE"/>
    <w:rsid w:val="00AD0622"/>
    <w:rsid w:val="00AE1210"/>
    <w:rsid w:val="00AE6AF0"/>
    <w:rsid w:val="00AF2D06"/>
    <w:rsid w:val="00B106D1"/>
    <w:rsid w:val="00B10F9E"/>
    <w:rsid w:val="00B26185"/>
    <w:rsid w:val="00B35AAA"/>
    <w:rsid w:val="00B8323C"/>
    <w:rsid w:val="00B879CB"/>
    <w:rsid w:val="00BA5F92"/>
    <w:rsid w:val="00BA7423"/>
    <w:rsid w:val="00BB230F"/>
    <w:rsid w:val="00BB3001"/>
    <w:rsid w:val="00BB6261"/>
    <w:rsid w:val="00BD561D"/>
    <w:rsid w:val="00BE5B0D"/>
    <w:rsid w:val="00BE671D"/>
    <w:rsid w:val="00BF684C"/>
    <w:rsid w:val="00BF6C18"/>
    <w:rsid w:val="00C00F9A"/>
    <w:rsid w:val="00C30C3E"/>
    <w:rsid w:val="00C721E2"/>
    <w:rsid w:val="00C94FE1"/>
    <w:rsid w:val="00C975B0"/>
    <w:rsid w:val="00CA5DA3"/>
    <w:rsid w:val="00CC3868"/>
    <w:rsid w:val="00CC5E9A"/>
    <w:rsid w:val="00CC71A0"/>
    <w:rsid w:val="00CD791D"/>
    <w:rsid w:val="00CF07D0"/>
    <w:rsid w:val="00D07025"/>
    <w:rsid w:val="00D12FC1"/>
    <w:rsid w:val="00D25815"/>
    <w:rsid w:val="00D377F9"/>
    <w:rsid w:val="00D54C59"/>
    <w:rsid w:val="00D70BD6"/>
    <w:rsid w:val="00D80AFD"/>
    <w:rsid w:val="00D85739"/>
    <w:rsid w:val="00D95832"/>
    <w:rsid w:val="00DB2022"/>
    <w:rsid w:val="00DB4F79"/>
    <w:rsid w:val="00DB7A04"/>
    <w:rsid w:val="00DC1198"/>
    <w:rsid w:val="00DD1A81"/>
    <w:rsid w:val="00DE27D1"/>
    <w:rsid w:val="00DE2A42"/>
    <w:rsid w:val="00E04BF1"/>
    <w:rsid w:val="00E1002C"/>
    <w:rsid w:val="00E16338"/>
    <w:rsid w:val="00E20F6B"/>
    <w:rsid w:val="00E26D69"/>
    <w:rsid w:val="00E455B0"/>
    <w:rsid w:val="00E47522"/>
    <w:rsid w:val="00E52C2A"/>
    <w:rsid w:val="00E72ECA"/>
    <w:rsid w:val="00E85918"/>
    <w:rsid w:val="00E87510"/>
    <w:rsid w:val="00E9319E"/>
    <w:rsid w:val="00E937A5"/>
    <w:rsid w:val="00E97CE1"/>
    <w:rsid w:val="00EA0016"/>
    <w:rsid w:val="00EB64B6"/>
    <w:rsid w:val="00EC2537"/>
    <w:rsid w:val="00F143A1"/>
    <w:rsid w:val="00F17A08"/>
    <w:rsid w:val="00F515B3"/>
    <w:rsid w:val="00F75862"/>
    <w:rsid w:val="00F87034"/>
    <w:rsid w:val="00F917BC"/>
    <w:rsid w:val="00F918E0"/>
    <w:rsid w:val="00FA6540"/>
    <w:rsid w:val="00FB67E1"/>
    <w:rsid w:val="00FC243D"/>
    <w:rsid w:val="00FE1CC3"/>
    <w:rsid w:val="00FE237B"/>
    <w:rsid w:val="14BD55D9"/>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E9D3B2"/>
  <w15:docId w15:val="{EA2FD06D-533D-FA4C-9A6A-0C570BEE7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sz w:val="24"/>
      <w:szCs w:val="24"/>
      <w:lang w:val="en-US" w:eastAsia="en-US"/>
    </w:rPr>
  </w:style>
  <w:style w:type="paragraph" w:styleId="Cmsor4">
    <w:name w:val="heading 4"/>
    <w:basedOn w:val="Norml"/>
    <w:next w:val="Norml"/>
    <w:link w:val="Cmsor4Char"/>
    <w:uiPriority w:val="9"/>
    <w:unhideWhenUsed/>
    <w:qFormat/>
    <w:rsid w:val="00C975B0"/>
    <w:pPr>
      <w:keepNext/>
      <w:keepLines/>
      <w:spacing w:before="200" w:line="276" w:lineRule="auto"/>
      <w:outlineLvl w:val="3"/>
    </w:pPr>
    <w:rPr>
      <w:rFonts w:ascii="Calibri Light" w:eastAsia="Yu Gothic Light" w:hAnsi="Calibri Light"/>
      <w:b/>
      <w:bCs/>
      <w:i/>
      <w:iCs/>
      <w:color w:val="4472C4"/>
      <w:sz w:val="22"/>
      <w:szCs w:val="22"/>
    </w:rPr>
  </w:style>
  <w:style w:type="paragraph" w:styleId="Cmsor5">
    <w:name w:val="heading 5"/>
    <w:basedOn w:val="Norml"/>
    <w:next w:val="Norml"/>
    <w:link w:val="Cmsor5Char"/>
    <w:uiPriority w:val="9"/>
    <w:semiHidden/>
    <w:unhideWhenUsed/>
    <w:qFormat/>
    <w:rsid w:val="002B20C1"/>
    <w:pPr>
      <w:keepNext/>
      <w:keepLines/>
      <w:spacing w:before="40"/>
      <w:outlineLvl w:val="4"/>
    </w:pPr>
    <w:rPr>
      <w:rFonts w:ascii="Calibri Light" w:eastAsia="Yu Gothic Light" w:hAnsi="Calibri Light"/>
      <w:color w:val="2F549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Jegyzethivatkozs">
    <w:name w:val="annotation reference"/>
    <w:uiPriority w:val="99"/>
    <w:semiHidden/>
    <w:unhideWhenUsed/>
    <w:rsid w:val="00006628"/>
    <w:rPr>
      <w:sz w:val="16"/>
      <w:szCs w:val="16"/>
    </w:rPr>
  </w:style>
  <w:style w:type="paragraph" w:styleId="Jegyzetszveg">
    <w:name w:val="annotation text"/>
    <w:basedOn w:val="Norml"/>
    <w:link w:val="JegyzetszvegChar"/>
    <w:uiPriority w:val="99"/>
    <w:semiHidden/>
    <w:unhideWhenUsed/>
    <w:rsid w:val="00006628"/>
    <w:pPr>
      <w:spacing w:after="200" w:line="276" w:lineRule="auto"/>
    </w:pPr>
    <w:rPr>
      <w:sz w:val="20"/>
      <w:szCs w:val="20"/>
    </w:rPr>
  </w:style>
  <w:style w:type="character" w:customStyle="1" w:styleId="JegyzetszvegChar">
    <w:name w:val="Jegyzetszöveg Char"/>
    <w:link w:val="Jegyzetszveg"/>
    <w:uiPriority w:val="99"/>
    <w:semiHidden/>
    <w:rsid w:val="00006628"/>
    <w:rPr>
      <w:rFonts w:ascii="Calibri" w:eastAsia="Calibri" w:hAnsi="Calibri" w:cs="Times New Roman"/>
      <w:sz w:val="20"/>
      <w:szCs w:val="20"/>
    </w:rPr>
  </w:style>
  <w:style w:type="paragraph" w:styleId="Buborkszveg">
    <w:name w:val="Balloon Text"/>
    <w:basedOn w:val="Norml"/>
    <w:link w:val="BuborkszvegChar"/>
    <w:uiPriority w:val="99"/>
    <w:semiHidden/>
    <w:unhideWhenUsed/>
    <w:rsid w:val="00006628"/>
    <w:rPr>
      <w:rFonts w:ascii="Times New Roman" w:hAnsi="Times New Roman"/>
      <w:sz w:val="18"/>
      <w:szCs w:val="18"/>
    </w:rPr>
  </w:style>
  <w:style w:type="character" w:customStyle="1" w:styleId="BuborkszvegChar">
    <w:name w:val="Buborékszöveg Char"/>
    <w:link w:val="Buborkszveg"/>
    <w:uiPriority w:val="99"/>
    <w:semiHidden/>
    <w:rsid w:val="00006628"/>
    <w:rPr>
      <w:rFonts w:ascii="Times New Roman" w:hAnsi="Times New Roman" w:cs="Times New Roman"/>
      <w:sz w:val="18"/>
      <w:szCs w:val="18"/>
    </w:rPr>
  </w:style>
  <w:style w:type="table" w:styleId="Rcsostblzat">
    <w:name w:val="Table Grid"/>
    <w:basedOn w:val="Normltblzat"/>
    <w:uiPriority w:val="39"/>
    <w:rsid w:val="00C975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4Char">
    <w:name w:val="Címsor 4 Char"/>
    <w:link w:val="Cmsor4"/>
    <w:uiPriority w:val="9"/>
    <w:rsid w:val="00C975B0"/>
    <w:rPr>
      <w:rFonts w:ascii="Calibri Light" w:eastAsia="Yu Gothic Light" w:hAnsi="Calibri Light" w:cs="Times New Roman"/>
      <w:b/>
      <w:bCs/>
      <w:i/>
      <w:iCs/>
      <w:color w:val="4472C4"/>
      <w:sz w:val="22"/>
      <w:szCs w:val="22"/>
    </w:rPr>
  </w:style>
  <w:style w:type="character" w:customStyle="1" w:styleId="Cmsor5Char">
    <w:name w:val="Címsor 5 Char"/>
    <w:link w:val="Cmsor5"/>
    <w:uiPriority w:val="9"/>
    <w:semiHidden/>
    <w:rsid w:val="002B20C1"/>
    <w:rPr>
      <w:rFonts w:ascii="Calibri Light" w:eastAsia="Yu Gothic Light" w:hAnsi="Calibri Light" w:cs="Times New Roman"/>
      <w:color w:val="2F5496"/>
    </w:rPr>
  </w:style>
  <w:style w:type="paragraph" w:styleId="Megjegyzstrgya">
    <w:name w:val="annotation subject"/>
    <w:basedOn w:val="Jegyzetszveg"/>
    <w:next w:val="Jegyzetszveg"/>
    <w:link w:val="MegjegyzstrgyaChar"/>
    <w:uiPriority w:val="99"/>
    <w:semiHidden/>
    <w:unhideWhenUsed/>
    <w:rsid w:val="00BA7423"/>
    <w:pPr>
      <w:spacing w:after="0" w:line="240" w:lineRule="auto"/>
    </w:pPr>
    <w:rPr>
      <w:b/>
      <w:bCs/>
    </w:rPr>
  </w:style>
  <w:style w:type="character" w:customStyle="1" w:styleId="MegjegyzstrgyaChar">
    <w:name w:val="Megjegyzés tárgya Char"/>
    <w:link w:val="Megjegyzstrgya"/>
    <w:uiPriority w:val="99"/>
    <w:semiHidden/>
    <w:rsid w:val="00BA7423"/>
    <w:rPr>
      <w:rFonts w:ascii="Calibri" w:eastAsia="Calibri" w:hAnsi="Calibri" w:cs="Times New Roman"/>
      <w:b/>
      <w:bCs/>
      <w:sz w:val="20"/>
      <w:szCs w:val="20"/>
    </w:rPr>
  </w:style>
  <w:style w:type="paragraph" w:styleId="Vltozat">
    <w:name w:val="Revision"/>
    <w:hidden/>
    <w:uiPriority w:val="99"/>
    <w:semiHidden/>
    <w:rsid w:val="00835D10"/>
    <w:rPr>
      <w:sz w:val="24"/>
      <w:szCs w:val="24"/>
      <w:lang w:val="en-US" w:eastAsia="en-US"/>
    </w:rPr>
  </w:style>
  <w:style w:type="character" w:styleId="Hiperhivatkozs">
    <w:name w:val="Hyperlink"/>
    <w:uiPriority w:val="99"/>
    <w:unhideWhenUsed/>
    <w:rsid w:val="00CD791D"/>
    <w:rPr>
      <w:color w:val="0563C1"/>
      <w:u w:val="single"/>
    </w:rPr>
  </w:style>
  <w:style w:type="character" w:customStyle="1" w:styleId="UnresolvedMention1">
    <w:name w:val="Unresolved Mention1"/>
    <w:uiPriority w:val="99"/>
    <w:semiHidden/>
    <w:unhideWhenUsed/>
    <w:rsid w:val="00CD791D"/>
    <w:rPr>
      <w:color w:val="605E5C"/>
      <w:shd w:val="clear" w:color="auto" w:fill="E1DFDD"/>
    </w:rPr>
  </w:style>
  <w:style w:type="paragraph" w:styleId="lfej">
    <w:name w:val="header"/>
    <w:basedOn w:val="Norml"/>
    <w:link w:val="lfejChar"/>
    <w:uiPriority w:val="99"/>
    <w:unhideWhenUsed/>
    <w:rsid w:val="00783DCC"/>
    <w:pPr>
      <w:tabs>
        <w:tab w:val="center" w:pos="4680"/>
        <w:tab w:val="right" w:pos="9360"/>
      </w:tabs>
    </w:pPr>
  </w:style>
  <w:style w:type="character" w:customStyle="1" w:styleId="lfejChar">
    <w:name w:val="Élőfej Char"/>
    <w:basedOn w:val="Bekezdsalapbettpusa"/>
    <w:link w:val="lfej"/>
    <w:uiPriority w:val="99"/>
    <w:rsid w:val="00783DCC"/>
  </w:style>
  <w:style w:type="paragraph" w:styleId="llb">
    <w:name w:val="footer"/>
    <w:basedOn w:val="Norml"/>
    <w:link w:val="llbChar"/>
    <w:uiPriority w:val="99"/>
    <w:unhideWhenUsed/>
    <w:rsid w:val="00783DCC"/>
    <w:pPr>
      <w:tabs>
        <w:tab w:val="center" w:pos="4680"/>
        <w:tab w:val="right" w:pos="9360"/>
      </w:tabs>
    </w:pPr>
  </w:style>
  <w:style w:type="character" w:customStyle="1" w:styleId="llbChar">
    <w:name w:val="Élőláb Char"/>
    <w:basedOn w:val="Bekezdsalapbettpusa"/>
    <w:link w:val="llb"/>
    <w:uiPriority w:val="99"/>
    <w:rsid w:val="00783DCC"/>
  </w:style>
  <w:style w:type="character" w:styleId="Oldalszm">
    <w:name w:val="page number"/>
    <w:basedOn w:val="Bekezdsalapbettpusa"/>
    <w:uiPriority w:val="99"/>
    <w:semiHidden/>
    <w:unhideWhenUsed/>
    <w:rsid w:val="005F6650"/>
  </w:style>
  <w:style w:type="character" w:styleId="Feloldatlanmegemlts">
    <w:name w:val="Unresolved Mention"/>
    <w:basedOn w:val="Bekezdsalapbettpusa"/>
    <w:uiPriority w:val="99"/>
    <w:semiHidden/>
    <w:unhideWhenUsed/>
    <w:rsid w:val="00305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8606">
      <w:bodyDiv w:val="1"/>
      <w:marLeft w:val="0"/>
      <w:marRight w:val="0"/>
      <w:marTop w:val="0"/>
      <w:marBottom w:val="0"/>
      <w:divBdr>
        <w:top w:val="none" w:sz="0" w:space="0" w:color="auto"/>
        <w:left w:val="none" w:sz="0" w:space="0" w:color="auto"/>
        <w:bottom w:val="none" w:sz="0" w:space="0" w:color="auto"/>
        <w:right w:val="none" w:sz="0" w:space="0" w:color="auto"/>
      </w:divBdr>
      <w:divsChild>
        <w:div w:id="2043746419">
          <w:marLeft w:val="0"/>
          <w:marRight w:val="108"/>
          <w:marTop w:val="18"/>
          <w:marBottom w:val="108"/>
          <w:divBdr>
            <w:top w:val="none" w:sz="0" w:space="0" w:color="auto"/>
            <w:left w:val="none" w:sz="0" w:space="0" w:color="auto"/>
            <w:bottom w:val="none" w:sz="0" w:space="0" w:color="auto"/>
            <w:right w:val="none" w:sz="0" w:space="0" w:color="auto"/>
          </w:divBdr>
          <w:divsChild>
            <w:div w:id="555237057">
              <w:marLeft w:val="0"/>
              <w:marRight w:val="0"/>
              <w:marTop w:val="0"/>
              <w:marBottom w:val="0"/>
              <w:divBdr>
                <w:top w:val="none" w:sz="0" w:space="0" w:color="auto"/>
                <w:left w:val="none" w:sz="0" w:space="0" w:color="auto"/>
                <w:bottom w:val="none" w:sz="0" w:space="0" w:color="auto"/>
                <w:right w:val="none" w:sz="0" w:space="0" w:color="auto"/>
              </w:divBdr>
              <w:divsChild>
                <w:div w:id="733940387">
                  <w:marLeft w:val="0"/>
                  <w:marRight w:val="108"/>
                  <w:marTop w:val="108"/>
                  <w:marBottom w:val="108"/>
                  <w:divBdr>
                    <w:top w:val="none" w:sz="0" w:space="0" w:color="auto"/>
                    <w:left w:val="none" w:sz="0" w:space="0" w:color="auto"/>
                    <w:bottom w:val="none" w:sz="0" w:space="0" w:color="auto"/>
                    <w:right w:val="none" w:sz="0" w:space="0" w:color="auto"/>
                  </w:divBdr>
                  <w:divsChild>
                    <w:div w:id="1660617959">
                      <w:marLeft w:val="0"/>
                      <w:marRight w:val="0"/>
                      <w:marTop w:val="0"/>
                      <w:marBottom w:val="0"/>
                      <w:divBdr>
                        <w:top w:val="none" w:sz="0" w:space="0" w:color="auto"/>
                        <w:left w:val="none" w:sz="0" w:space="0" w:color="auto"/>
                        <w:bottom w:val="none" w:sz="0" w:space="0" w:color="auto"/>
                        <w:right w:val="none" w:sz="0" w:space="0" w:color="auto"/>
                      </w:divBdr>
                      <w:divsChild>
                        <w:div w:id="82184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84883">
                  <w:marLeft w:val="0"/>
                  <w:marRight w:val="108"/>
                  <w:marTop w:val="18"/>
                  <w:marBottom w:val="108"/>
                  <w:divBdr>
                    <w:top w:val="none" w:sz="0" w:space="0" w:color="auto"/>
                    <w:left w:val="none" w:sz="0" w:space="0" w:color="auto"/>
                    <w:bottom w:val="none" w:sz="0" w:space="0" w:color="auto"/>
                    <w:right w:val="none" w:sz="0" w:space="0" w:color="auto"/>
                  </w:divBdr>
                  <w:divsChild>
                    <w:div w:id="213003672">
                      <w:marLeft w:val="0"/>
                      <w:marRight w:val="0"/>
                      <w:marTop w:val="0"/>
                      <w:marBottom w:val="0"/>
                      <w:divBdr>
                        <w:top w:val="none" w:sz="0" w:space="0" w:color="auto"/>
                        <w:left w:val="none" w:sz="0" w:space="0" w:color="auto"/>
                        <w:bottom w:val="none" w:sz="0" w:space="0" w:color="auto"/>
                        <w:right w:val="none" w:sz="0" w:space="0" w:color="auto"/>
                      </w:divBdr>
                      <w:divsChild>
                        <w:div w:id="66030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818910">
                  <w:marLeft w:val="0"/>
                  <w:marRight w:val="108"/>
                  <w:marTop w:val="108"/>
                  <w:marBottom w:val="108"/>
                  <w:divBdr>
                    <w:top w:val="none" w:sz="0" w:space="0" w:color="auto"/>
                    <w:left w:val="none" w:sz="0" w:space="0" w:color="auto"/>
                    <w:bottom w:val="none" w:sz="0" w:space="0" w:color="auto"/>
                    <w:right w:val="none" w:sz="0" w:space="0" w:color="auto"/>
                  </w:divBdr>
                  <w:divsChild>
                    <w:div w:id="1537618079">
                      <w:marLeft w:val="0"/>
                      <w:marRight w:val="0"/>
                      <w:marTop w:val="0"/>
                      <w:marBottom w:val="0"/>
                      <w:divBdr>
                        <w:top w:val="none" w:sz="0" w:space="0" w:color="auto"/>
                        <w:left w:val="none" w:sz="0" w:space="0" w:color="auto"/>
                        <w:bottom w:val="none" w:sz="0" w:space="0" w:color="auto"/>
                        <w:right w:val="none" w:sz="0" w:space="0" w:color="auto"/>
                      </w:divBdr>
                      <w:divsChild>
                        <w:div w:id="109682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53896">
                  <w:marLeft w:val="0"/>
                  <w:marRight w:val="0"/>
                  <w:marTop w:val="0"/>
                  <w:marBottom w:val="0"/>
                  <w:divBdr>
                    <w:top w:val="none" w:sz="0" w:space="0" w:color="auto"/>
                    <w:left w:val="none" w:sz="0" w:space="0" w:color="auto"/>
                    <w:bottom w:val="none" w:sz="0" w:space="0" w:color="auto"/>
                    <w:right w:val="none" w:sz="0" w:space="0" w:color="auto"/>
                  </w:divBdr>
                </w:div>
                <w:div w:id="1926258856">
                  <w:marLeft w:val="0"/>
                  <w:marRight w:val="108"/>
                  <w:marTop w:val="108"/>
                  <w:marBottom w:val="108"/>
                  <w:divBdr>
                    <w:top w:val="none" w:sz="0" w:space="0" w:color="auto"/>
                    <w:left w:val="none" w:sz="0" w:space="0" w:color="auto"/>
                    <w:bottom w:val="none" w:sz="0" w:space="0" w:color="auto"/>
                    <w:right w:val="none" w:sz="0" w:space="0" w:color="auto"/>
                  </w:divBdr>
                  <w:divsChild>
                    <w:div w:id="852761071">
                      <w:marLeft w:val="0"/>
                      <w:marRight w:val="0"/>
                      <w:marTop w:val="0"/>
                      <w:marBottom w:val="0"/>
                      <w:divBdr>
                        <w:top w:val="none" w:sz="0" w:space="0" w:color="auto"/>
                        <w:left w:val="none" w:sz="0" w:space="0" w:color="auto"/>
                        <w:bottom w:val="none" w:sz="0" w:space="0" w:color="auto"/>
                        <w:right w:val="none" w:sz="0" w:space="0" w:color="auto"/>
                      </w:divBdr>
                      <w:divsChild>
                        <w:div w:id="174938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237701">
      <w:bodyDiv w:val="1"/>
      <w:marLeft w:val="0"/>
      <w:marRight w:val="0"/>
      <w:marTop w:val="0"/>
      <w:marBottom w:val="0"/>
      <w:divBdr>
        <w:top w:val="none" w:sz="0" w:space="0" w:color="auto"/>
        <w:left w:val="none" w:sz="0" w:space="0" w:color="auto"/>
        <w:bottom w:val="none" w:sz="0" w:space="0" w:color="auto"/>
        <w:right w:val="none" w:sz="0" w:space="0" w:color="auto"/>
      </w:divBdr>
    </w:div>
    <w:div w:id="453139264">
      <w:bodyDiv w:val="1"/>
      <w:marLeft w:val="0"/>
      <w:marRight w:val="0"/>
      <w:marTop w:val="0"/>
      <w:marBottom w:val="0"/>
      <w:divBdr>
        <w:top w:val="none" w:sz="0" w:space="0" w:color="auto"/>
        <w:left w:val="none" w:sz="0" w:space="0" w:color="auto"/>
        <w:bottom w:val="none" w:sz="0" w:space="0" w:color="auto"/>
        <w:right w:val="none" w:sz="0" w:space="0" w:color="auto"/>
      </w:divBdr>
    </w:div>
    <w:div w:id="525869672">
      <w:bodyDiv w:val="1"/>
      <w:marLeft w:val="0"/>
      <w:marRight w:val="0"/>
      <w:marTop w:val="0"/>
      <w:marBottom w:val="0"/>
      <w:divBdr>
        <w:top w:val="none" w:sz="0" w:space="0" w:color="auto"/>
        <w:left w:val="none" w:sz="0" w:space="0" w:color="auto"/>
        <w:bottom w:val="none" w:sz="0" w:space="0" w:color="auto"/>
        <w:right w:val="none" w:sz="0" w:space="0" w:color="auto"/>
      </w:divBdr>
    </w:div>
    <w:div w:id="588931081">
      <w:bodyDiv w:val="1"/>
      <w:marLeft w:val="0"/>
      <w:marRight w:val="0"/>
      <w:marTop w:val="0"/>
      <w:marBottom w:val="0"/>
      <w:divBdr>
        <w:top w:val="none" w:sz="0" w:space="0" w:color="auto"/>
        <w:left w:val="none" w:sz="0" w:space="0" w:color="auto"/>
        <w:bottom w:val="none" w:sz="0" w:space="0" w:color="auto"/>
        <w:right w:val="none" w:sz="0" w:space="0" w:color="auto"/>
      </w:divBdr>
    </w:div>
    <w:div w:id="636179663">
      <w:bodyDiv w:val="1"/>
      <w:marLeft w:val="0"/>
      <w:marRight w:val="0"/>
      <w:marTop w:val="0"/>
      <w:marBottom w:val="0"/>
      <w:divBdr>
        <w:top w:val="none" w:sz="0" w:space="0" w:color="auto"/>
        <w:left w:val="none" w:sz="0" w:space="0" w:color="auto"/>
        <w:bottom w:val="none" w:sz="0" w:space="0" w:color="auto"/>
        <w:right w:val="none" w:sz="0" w:space="0" w:color="auto"/>
      </w:divBdr>
    </w:div>
    <w:div w:id="656032930">
      <w:bodyDiv w:val="1"/>
      <w:marLeft w:val="0"/>
      <w:marRight w:val="0"/>
      <w:marTop w:val="0"/>
      <w:marBottom w:val="0"/>
      <w:divBdr>
        <w:top w:val="none" w:sz="0" w:space="0" w:color="auto"/>
        <w:left w:val="none" w:sz="0" w:space="0" w:color="auto"/>
        <w:bottom w:val="none" w:sz="0" w:space="0" w:color="auto"/>
        <w:right w:val="none" w:sz="0" w:space="0" w:color="auto"/>
      </w:divBdr>
    </w:div>
    <w:div w:id="900210520">
      <w:bodyDiv w:val="1"/>
      <w:marLeft w:val="0"/>
      <w:marRight w:val="0"/>
      <w:marTop w:val="0"/>
      <w:marBottom w:val="0"/>
      <w:divBdr>
        <w:top w:val="none" w:sz="0" w:space="0" w:color="auto"/>
        <w:left w:val="none" w:sz="0" w:space="0" w:color="auto"/>
        <w:bottom w:val="none" w:sz="0" w:space="0" w:color="auto"/>
        <w:right w:val="none" w:sz="0" w:space="0" w:color="auto"/>
      </w:divBdr>
    </w:div>
    <w:div w:id="922111173">
      <w:bodyDiv w:val="1"/>
      <w:marLeft w:val="0"/>
      <w:marRight w:val="0"/>
      <w:marTop w:val="0"/>
      <w:marBottom w:val="0"/>
      <w:divBdr>
        <w:top w:val="none" w:sz="0" w:space="0" w:color="auto"/>
        <w:left w:val="none" w:sz="0" w:space="0" w:color="auto"/>
        <w:bottom w:val="none" w:sz="0" w:space="0" w:color="auto"/>
        <w:right w:val="none" w:sz="0" w:space="0" w:color="auto"/>
      </w:divBdr>
    </w:div>
    <w:div w:id="983508977">
      <w:bodyDiv w:val="1"/>
      <w:marLeft w:val="0"/>
      <w:marRight w:val="0"/>
      <w:marTop w:val="0"/>
      <w:marBottom w:val="0"/>
      <w:divBdr>
        <w:top w:val="none" w:sz="0" w:space="0" w:color="auto"/>
        <w:left w:val="none" w:sz="0" w:space="0" w:color="auto"/>
        <w:bottom w:val="none" w:sz="0" w:space="0" w:color="auto"/>
        <w:right w:val="none" w:sz="0" w:space="0" w:color="auto"/>
      </w:divBdr>
    </w:div>
    <w:div w:id="1055742938">
      <w:bodyDiv w:val="1"/>
      <w:marLeft w:val="0"/>
      <w:marRight w:val="0"/>
      <w:marTop w:val="0"/>
      <w:marBottom w:val="0"/>
      <w:divBdr>
        <w:top w:val="none" w:sz="0" w:space="0" w:color="auto"/>
        <w:left w:val="none" w:sz="0" w:space="0" w:color="auto"/>
        <w:bottom w:val="none" w:sz="0" w:space="0" w:color="auto"/>
        <w:right w:val="none" w:sz="0" w:space="0" w:color="auto"/>
      </w:divBdr>
    </w:div>
    <w:div w:id="1065033054">
      <w:bodyDiv w:val="1"/>
      <w:marLeft w:val="0"/>
      <w:marRight w:val="0"/>
      <w:marTop w:val="0"/>
      <w:marBottom w:val="0"/>
      <w:divBdr>
        <w:top w:val="none" w:sz="0" w:space="0" w:color="auto"/>
        <w:left w:val="none" w:sz="0" w:space="0" w:color="auto"/>
        <w:bottom w:val="none" w:sz="0" w:space="0" w:color="auto"/>
        <w:right w:val="none" w:sz="0" w:space="0" w:color="auto"/>
      </w:divBdr>
    </w:div>
    <w:div w:id="1115978421">
      <w:bodyDiv w:val="1"/>
      <w:marLeft w:val="0"/>
      <w:marRight w:val="0"/>
      <w:marTop w:val="0"/>
      <w:marBottom w:val="0"/>
      <w:divBdr>
        <w:top w:val="none" w:sz="0" w:space="0" w:color="auto"/>
        <w:left w:val="none" w:sz="0" w:space="0" w:color="auto"/>
        <w:bottom w:val="none" w:sz="0" w:space="0" w:color="auto"/>
        <w:right w:val="none" w:sz="0" w:space="0" w:color="auto"/>
      </w:divBdr>
    </w:div>
    <w:div w:id="1151941856">
      <w:bodyDiv w:val="1"/>
      <w:marLeft w:val="0"/>
      <w:marRight w:val="0"/>
      <w:marTop w:val="0"/>
      <w:marBottom w:val="0"/>
      <w:divBdr>
        <w:top w:val="none" w:sz="0" w:space="0" w:color="auto"/>
        <w:left w:val="none" w:sz="0" w:space="0" w:color="auto"/>
        <w:bottom w:val="none" w:sz="0" w:space="0" w:color="auto"/>
        <w:right w:val="none" w:sz="0" w:space="0" w:color="auto"/>
      </w:divBdr>
    </w:div>
    <w:div w:id="1184829882">
      <w:bodyDiv w:val="1"/>
      <w:marLeft w:val="0"/>
      <w:marRight w:val="0"/>
      <w:marTop w:val="0"/>
      <w:marBottom w:val="0"/>
      <w:divBdr>
        <w:top w:val="none" w:sz="0" w:space="0" w:color="auto"/>
        <w:left w:val="none" w:sz="0" w:space="0" w:color="auto"/>
        <w:bottom w:val="none" w:sz="0" w:space="0" w:color="auto"/>
        <w:right w:val="none" w:sz="0" w:space="0" w:color="auto"/>
      </w:divBdr>
    </w:div>
    <w:div w:id="1236163773">
      <w:bodyDiv w:val="1"/>
      <w:marLeft w:val="0"/>
      <w:marRight w:val="0"/>
      <w:marTop w:val="0"/>
      <w:marBottom w:val="0"/>
      <w:divBdr>
        <w:top w:val="none" w:sz="0" w:space="0" w:color="auto"/>
        <w:left w:val="none" w:sz="0" w:space="0" w:color="auto"/>
        <w:bottom w:val="none" w:sz="0" w:space="0" w:color="auto"/>
        <w:right w:val="none" w:sz="0" w:space="0" w:color="auto"/>
      </w:divBdr>
      <w:divsChild>
        <w:div w:id="1856964096">
          <w:marLeft w:val="0"/>
          <w:marRight w:val="108"/>
          <w:marTop w:val="18"/>
          <w:marBottom w:val="108"/>
          <w:divBdr>
            <w:top w:val="none" w:sz="0" w:space="0" w:color="auto"/>
            <w:left w:val="none" w:sz="0" w:space="0" w:color="auto"/>
            <w:bottom w:val="none" w:sz="0" w:space="0" w:color="auto"/>
            <w:right w:val="none" w:sz="0" w:space="0" w:color="auto"/>
          </w:divBdr>
          <w:divsChild>
            <w:div w:id="2052149443">
              <w:marLeft w:val="0"/>
              <w:marRight w:val="0"/>
              <w:marTop w:val="0"/>
              <w:marBottom w:val="0"/>
              <w:divBdr>
                <w:top w:val="none" w:sz="0" w:space="0" w:color="auto"/>
                <w:left w:val="none" w:sz="0" w:space="0" w:color="auto"/>
                <w:bottom w:val="none" w:sz="0" w:space="0" w:color="auto"/>
                <w:right w:val="none" w:sz="0" w:space="0" w:color="auto"/>
              </w:divBdr>
              <w:divsChild>
                <w:div w:id="256064733">
                  <w:marLeft w:val="0"/>
                  <w:marRight w:val="108"/>
                  <w:marTop w:val="108"/>
                  <w:marBottom w:val="108"/>
                  <w:divBdr>
                    <w:top w:val="none" w:sz="0" w:space="0" w:color="auto"/>
                    <w:left w:val="none" w:sz="0" w:space="0" w:color="auto"/>
                    <w:bottom w:val="none" w:sz="0" w:space="0" w:color="auto"/>
                    <w:right w:val="none" w:sz="0" w:space="0" w:color="auto"/>
                  </w:divBdr>
                  <w:divsChild>
                    <w:div w:id="1898053779">
                      <w:marLeft w:val="0"/>
                      <w:marRight w:val="0"/>
                      <w:marTop w:val="0"/>
                      <w:marBottom w:val="0"/>
                      <w:divBdr>
                        <w:top w:val="none" w:sz="0" w:space="0" w:color="auto"/>
                        <w:left w:val="none" w:sz="0" w:space="0" w:color="auto"/>
                        <w:bottom w:val="none" w:sz="0" w:space="0" w:color="auto"/>
                        <w:right w:val="none" w:sz="0" w:space="0" w:color="auto"/>
                      </w:divBdr>
                      <w:divsChild>
                        <w:div w:id="77753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740620">
                  <w:marLeft w:val="0"/>
                  <w:marRight w:val="108"/>
                  <w:marTop w:val="108"/>
                  <w:marBottom w:val="108"/>
                  <w:divBdr>
                    <w:top w:val="none" w:sz="0" w:space="0" w:color="auto"/>
                    <w:left w:val="none" w:sz="0" w:space="0" w:color="auto"/>
                    <w:bottom w:val="none" w:sz="0" w:space="0" w:color="auto"/>
                    <w:right w:val="none" w:sz="0" w:space="0" w:color="auto"/>
                  </w:divBdr>
                  <w:divsChild>
                    <w:div w:id="251203599">
                      <w:marLeft w:val="0"/>
                      <w:marRight w:val="0"/>
                      <w:marTop w:val="0"/>
                      <w:marBottom w:val="0"/>
                      <w:divBdr>
                        <w:top w:val="none" w:sz="0" w:space="0" w:color="auto"/>
                        <w:left w:val="none" w:sz="0" w:space="0" w:color="auto"/>
                        <w:bottom w:val="none" w:sz="0" w:space="0" w:color="auto"/>
                        <w:right w:val="none" w:sz="0" w:space="0" w:color="auto"/>
                      </w:divBdr>
                      <w:divsChild>
                        <w:div w:id="20998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744054">
                  <w:marLeft w:val="0"/>
                  <w:marRight w:val="0"/>
                  <w:marTop w:val="0"/>
                  <w:marBottom w:val="0"/>
                  <w:divBdr>
                    <w:top w:val="none" w:sz="0" w:space="0" w:color="auto"/>
                    <w:left w:val="none" w:sz="0" w:space="0" w:color="auto"/>
                    <w:bottom w:val="none" w:sz="0" w:space="0" w:color="auto"/>
                    <w:right w:val="none" w:sz="0" w:space="0" w:color="auto"/>
                  </w:divBdr>
                </w:div>
                <w:div w:id="1219127501">
                  <w:marLeft w:val="0"/>
                  <w:marRight w:val="108"/>
                  <w:marTop w:val="108"/>
                  <w:marBottom w:val="108"/>
                  <w:divBdr>
                    <w:top w:val="none" w:sz="0" w:space="0" w:color="auto"/>
                    <w:left w:val="none" w:sz="0" w:space="0" w:color="auto"/>
                    <w:bottom w:val="none" w:sz="0" w:space="0" w:color="auto"/>
                    <w:right w:val="none" w:sz="0" w:space="0" w:color="auto"/>
                  </w:divBdr>
                  <w:divsChild>
                    <w:div w:id="818959571">
                      <w:marLeft w:val="0"/>
                      <w:marRight w:val="0"/>
                      <w:marTop w:val="0"/>
                      <w:marBottom w:val="0"/>
                      <w:divBdr>
                        <w:top w:val="none" w:sz="0" w:space="0" w:color="auto"/>
                        <w:left w:val="none" w:sz="0" w:space="0" w:color="auto"/>
                        <w:bottom w:val="none" w:sz="0" w:space="0" w:color="auto"/>
                        <w:right w:val="none" w:sz="0" w:space="0" w:color="auto"/>
                      </w:divBdr>
                      <w:divsChild>
                        <w:div w:id="172374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69971">
                  <w:marLeft w:val="0"/>
                  <w:marRight w:val="108"/>
                  <w:marTop w:val="18"/>
                  <w:marBottom w:val="108"/>
                  <w:divBdr>
                    <w:top w:val="none" w:sz="0" w:space="0" w:color="auto"/>
                    <w:left w:val="none" w:sz="0" w:space="0" w:color="auto"/>
                    <w:bottom w:val="none" w:sz="0" w:space="0" w:color="auto"/>
                    <w:right w:val="none" w:sz="0" w:space="0" w:color="auto"/>
                  </w:divBdr>
                  <w:divsChild>
                    <w:div w:id="2110731741">
                      <w:marLeft w:val="0"/>
                      <w:marRight w:val="0"/>
                      <w:marTop w:val="0"/>
                      <w:marBottom w:val="0"/>
                      <w:divBdr>
                        <w:top w:val="none" w:sz="0" w:space="0" w:color="auto"/>
                        <w:left w:val="none" w:sz="0" w:space="0" w:color="auto"/>
                        <w:bottom w:val="none" w:sz="0" w:space="0" w:color="auto"/>
                        <w:right w:val="none" w:sz="0" w:space="0" w:color="auto"/>
                      </w:divBdr>
                      <w:divsChild>
                        <w:div w:id="140117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935718">
      <w:bodyDiv w:val="1"/>
      <w:marLeft w:val="0"/>
      <w:marRight w:val="0"/>
      <w:marTop w:val="0"/>
      <w:marBottom w:val="0"/>
      <w:divBdr>
        <w:top w:val="none" w:sz="0" w:space="0" w:color="auto"/>
        <w:left w:val="none" w:sz="0" w:space="0" w:color="auto"/>
        <w:bottom w:val="none" w:sz="0" w:space="0" w:color="auto"/>
        <w:right w:val="none" w:sz="0" w:space="0" w:color="auto"/>
      </w:divBdr>
    </w:div>
    <w:div w:id="1464811354">
      <w:bodyDiv w:val="1"/>
      <w:marLeft w:val="0"/>
      <w:marRight w:val="0"/>
      <w:marTop w:val="0"/>
      <w:marBottom w:val="0"/>
      <w:divBdr>
        <w:top w:val="none" w:sz="0" w:space="0" w:color="auto"/>
        <w:left w:val="none" w:sz="0" w:space="0" w:color="auto"/>
        <w:bottom w:val="none" w:sz="0" w:space="0" w:color="auto"/>
        <w:right w:val="none" w:sz="0" w:space="0" w:color="auto"/>
      </w:divBdr>
    </w:div>
    <w:div w:id="1471824403">
      <w:bodyDiv w:val="1"/>
      <w:marLeft w:val="0"/>
      <w:marRight w:val="0"/>
      <w:marTop w:val="0"/>
      <w:marBottom w:val="0"/>
      <w:divBdr>
        <w:top w:val="none" w:sz="0" w:space="0" w:color="auto"/>
        <w:left w:val="none" w:sz="0" w:space="0" w:color="auto"/>
        <w:bottom w:val="none" w:sz="0" w:space="0" w:color="auto"/>
        <w:right w:val="none" w:sz="0" w:space="0" w:color="auto"/>
      </w:divBdr>
    </w:div>
    <w:div w:id="1529223425">
      <w:bodyDiv w:val="1"/>
      <w:marLeft w:val="0"/>
      <w:marRight w:val="0"/>
      <w:marTop w:val="0"/>
      <w:marBottom w:val="0"/>
      <w:divBdr>
        <w:top w:val="none" w:sz="0" w:space="0" w:color="auto"/>
        <w:left w:val="none" w:sz="0" w:space="0" w:color="auto"/>
        <w:bottom w:val="none" w:sz="0" w:space="0" w:color="auto"/>
        <w:right w:val="none" w:sz="0" w:space="0" w:color="auto"/>
      </w:divBdr>
      <w:divsChild>
        <w:div w:id="468938794">
          <w:marLeft w:val="0"/>
          <w:marRight w:val="0"/>
          <w:marTop w:val="0"/>
          <w:marBottom w:val="0"/>
          <w:divBdr>
            <w:top w:val="none" w:sz="0" w:space="0" w:color="auto"/>
            <w:left w:val="none" w:sz="0" w:space="0" w:color="auto"/>
            <w:bottom w:val="none" w:sz="0" w:space="0" w:color="auto"/>
            <w:right w:val="none" w:sz="0" w:space="0" w:color="auto"/>
          </w:divBdr>
          <w:divsChild>
            <w:div w:id="1678384951">
              <w:marLeft w:val="0"/>
              <w:marRight w:val="0"/>
              <w:marTop w:val="0"/>
              <w:marBottom w:val="0"/>
              <w:divBdr>
                <w:top w:val="none" w:sz="0" w:space="0" w:color="auto"/>
                <w:left w:val="none" w:sz="0" w:space="0" w:color="auto"/>
                <w:bottom w:val="none" w:sz="0" w:space="0" w:color="auto"/>
                <w:right w:val="none" w:sz="0" w:space="0" w:color="auto"/>
              </w:divBdr>
              <w:divsChild>
                <w:div w:id="1747260413">
                  <w:marLeft w:val="0"/>
                  <w:marRight w:val="0"/>
                  <w:marTop w:val="0"/>
                  <w:marBottom w:val="0"/>
                  <w:divBdr>
                    <w:top w:val="none" w:sz="0" w:space="0" w:color="auto"/>
                    <w:left w:val="none" w:sz="0" w:space="0" w:color="auto"/>
                    <w:bottom w:val="none" w:sz="0" w:space="0" w:color="auto"/>
                    <w:right w:val="none" w:sz="0" w:space="0" w:color="auto"/>
                  </w:divBdr>
                </w:div>
              </w:divsChild>
            </w:div>
            <w:div w:id="2080594232">
              <w:marLeft w:val="0"/>
              <w:marRight w:val="0"/>
              <w:marTop w:val="0"/>
              <w:marBottom w:val="0"/>
              <w:divBdr>
                <w:top w:val="none" w:sz="0" w:space="0" w:color="auto"/>
                <w:left w:val="none" w:sz="0" w:space="0" w:color="auto"/>
                <w:bottom w:val="none" w:sz="0" w:space="0" w:color="auto"/>
                <w:right w:val="none" w:sz="0" w:space="0" w:color="auto"/>
              </w:divBdr>
              <w:divsChild>
                <w:div w:id="81607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24467">
          <w:marLeft w:val="0"/>
          <w:marRight w:val="0"/>
          <w:marTop w:val="0"/>
          <w:marBottom w:val="0"/>
          <w:divBdr>
            <w:top w:val="none" w:sz="0" w:space="0" w:color="auto"/>
            <w:left w:val="none" w:sz="0" w:space="0" w:color="auto"/>
            <w:bottom w:val="none" w:sz="0" w:space="0" w:color="auto"/>
            <w:right w:val="none" w:sz="0" w:space="0" w:color="auto"/>
          </w:divBdr>
          <w:divsChild>
            <w:div w:id="70466124">
              <w:marLeft w:val="0"/>
              <w:marRight w:val="0"/>
              <w:marTop w:val="0"/>
              <w:marBottom w:val="0"/>
              <w:divBdr>
                <w:top w:val="none" w:sz="0" w:space="0" w:color="auto"/>
                <w:left w:val="none" w:sz="0" w:space="0" w:color="auto"/>
                <w:bottom w:val="none" w:sz="0" w:space="0" w:color="auto"/>
                <w:right w:val="none" w:sz="0" w:space="0" w:color="auto"/>
              </w:divBdr>
              <w:divsChild>
                <w:div w:id="16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9690">
      <w:bodyDiv w:val="1"/>
      <w:marLeft w:val="0"/>
      <w:marRight w:val="0"/>
      <w:marTop w:val="0"/>
      <w:marBottom w:val="0"/>
      <w:divBdr>
        <w:top w:val="none" w:sz="0" w:space="0" w:color="auto"/>
        <w:left w:val="none" w:sz="0" w:space="0" w:color="auto"/>
        <w:bottom w:val="none" w:sz="0" w:space="0" w:color="auto"/>
        <w:right w:val="none" w:sz="0" w:space="0" w:color="auto"/>
      </w:divBdr>
    </w:div>
    <w:div w:id="1766146248">
      <w:bodyDiv w:val="1"/>
      <w:marLeft w:val="0"/>
      <w:marRight w:val="0"/>
      <w:marTop w:val="0"/>
      <w:marBottom w:val="0"/>
      <w:divBdr>
        <w:top w:val="none" w:sz="0" w:space="0" w:color="auto"/>
        <w:left w:val="none" w:sz="0" w:space="0" w:color="auto"/>
        <w:bottom w:val="none" w:sz="0" w:space="0" w:color="auto"/>
        <w:right w:val="none" w:sz="0" w:space="0" w:color="auto"/>
      </w:divBdr>
    </w:div>
    <w:div w:id="1767189067">
      <w:bodyDiv w:val="1"/>
      <w:marLeft w:val="0"/>
      <w:marRight w:val="0"/>
      <w:marTop w:val="0"/>
      <w:marBottom w:val="0"/>
      <w:divBdr>
        <w:top w:val="none" w:sz="0" w:space="0" w:color="auto"/>
        <w:left w:val="none" w:sz="0" w:space="0" w:color="auto"/>
        <w:bottom w:val="none" w:sz="0" w:space="0" w:color="auto"/>
        <w:right w:val="none" w:sz="0" w:space="0" w:color="auto"/>
      </w:divBdr>
    </w:div>
    <w:div w:id="1790707384">
      <w:bodyDiv w:val="1"/>
      <w:marLeft w:val="0"/>
      <w:marRight w:val="0"/>
      <w:marTop w:val="0"/>
      <w:marBottom w:val="0"/>
      <w:divBdr>
        <w:top w:val="none" w:sz="0" w:space="0" w:color="auto"/>
        <w:left w:val="none" w:sz="0" w:space="0" w:color="auto"/>
        <w:bottom w:val="none" w:sz="0" w:space="0" w:color="auto"/>
        <w:right w:val="none" w:sz="0" w:space="0" w:color="auto"/>
      </w:divBdr>
    </w:div>
    <w:div w:id="1887719789">
      <w:bodyDiv w:val="1"/>
      <w:marLeft w:val="0"/>
      <w:marRight w:val="0"/>
      <w:marTop w:val="0"/>
      <w:marBottom w:val="0"/>
      <w:divBdr>
        <w:top w:val="none" w:sz="0" w:space="0" w:color="auto"/>
        <w:left w:val="none" w:sz="0" w:space="0" w:color="auto"/>
        <w:bottom w:val="none" w:sz="0" w:space="0" w:color="auto"/>
        <w:right w:val="none" w:sz="0" w:space="0" w:color="auto"/>
      </w:divBdr>
    </w:div>
    <w:div w:id="2059010729">
      <w:bodyDiv w:val="1"/>
      <w:marLeft w:val="0"/>
      <w:marRight w:val="0"/>
      <w:marTop w:val="0"/>
      <w:marBottom w:val="0"/>
      <w:divBdr>
        <w:top w:val="none" w:sz="0" w:space="0" w:color="auto"/>
        <w:left w:val="none" w:sz="0" w:space="0" w:color="auto"/>
        <w:bottom w:val="none" w:sz="0" w:space="0" w:color="auto"/>
        <w:right w:val="none" w:sz="0" w:space="0" w:color="auto"/>
      </w:divBdr>
    </w:div>
    <w:div w:id="2132434495">
      <w:bodyDiv w:val="1"/>
      <w:marLeft w:val="0"/>
      <w:marRight w:val="0"/>
      <w:marTop w:val="0"/>
      <w:marBottom w:val="0"/>
      <w:divBdr>
        <w:top w:val="none" w:sz="0" w:space="0" w:color="auto"/>
        <w:left w:val="none" w:sz="0" w:space="0" w:color="auto"/>
        <w:bottom w:val="none" w:sz="0" w:space="0" w:color="auto"/>
        <w:right w:val="none" w:sz="0" w:space="0" w:color="auto"/>
      </w:divBdr>
    </w:div>
    <w:div w:id="214407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doi.org/10.1556/2006.2023.00015"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8.tiff"/><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tif"/><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EB253-962D-7544-8562-72551FE9D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18</Pages>
  <Words>6457</Words>
  <Characters>44560</Characters>
  <Application>Microsoft Office Word</Application>
  <DocSecurity>0</DocSecurity>
  <Lines>371</Lines>
  <Paragraphs>101</Paragraphs>
  <ScaleCrop>false</ScaleCrop>
  <Company/>
  <LinksUpToDate>false</LinksUpToDate>
  <CharactersWithSpaces>50916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tim</dc:creator>
  <cp:keywords/>
  <dc:description/>
  <cp:lastModifiedBy>Kriston,  Orsolya</cp:lastModifiedBy>
  <cp:revision>83</cp:revision>
  <dcterms:created xsi:type="dcterms:W3CDTF">2020-08-26T17:01:00Z</dcterms:created>
  <dcterms:modified xsi:type="dcterms:W3CDTF">2023-04-04T11:23:00Z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http://www.zotero.org/styles/biological-psychiatry</vt:lpwstr>
  </property>
  <property fmtid="{D5CDD505-2E9C-101B-9397-08002B2CF9AE}" pid="9" name="Mendeley Recent Style Name 3_1">
    <vt:lpwstr>Biological Psychiatry</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http://www.zotero.org/styles/nature-publishing-group-vancouver</vt:lpwstr>
  </property>
  <property fmtid="{D5CDD505-2E9C-101B-9397-08002B2CF9AE}" pid="17" name="Mendeley Recent Style Name 7_1">
    <vt:lpwstr>Nature Publishing Group - Vancouver</vt:lpwstr>
  </property>
  <property fmtid="{D5CDD505-2E9C-101B-9397-08002B2CF9AE}" pid="18" name="Mendeley Recent Style Id 8_1">
    <vt:lpwstr>http://www.zotero.org/styles/neuropsychopharmacology</vt:lpwstr>
  </property>
  <property fmtid="{D5CDD505-2E9C-101B-9397-08002B2CF9AE}" pid="19" name="Mendeley Recent Style Name 8_1">
    <vt:lpwstr>Neuropsychopharmacology</vt:lpwstr>
  </property>
  <property fmtid="{D5CDD505-2E9C-101B-9397-08002B2CF9AE}" pid="20" name="Mendeley Recent Style Id 9_1">
    <vt:lpwstr>http://www.zotero.org/styles/the-journal-of-neuroscience</vt:lpwstr>
  </property>
  <property fmtid="{D5CDD505-2E9C-101B-9397-08002B2CF9AE}" pid="21" name="Mendeley Recent Style Name 9_1">
    <vt:lpwstr>The Journal of Neuroscience</vt:lpwstr>
  </property>
  <property fmtid="{D5CDD505-2E9C-101B-9397-08002B2CF9AE}" pid="22" name="Mendeley Document_1">
    <vt:lpwstr>True</vt:lpwstr>
  </property>
  <property fmtid="{D5CDD505-2E9C-101B-9397-08002B2CF9AE}" pid="23" name="Mendeley Unique User Id_1">
    <vt:lpwstr>c491fb00-002c-306f-acd3-24b3a3d0b19f</vt:lpwstr>
  </property>
  <property fmtid="{D5CDD505-2E9C-101B-9397-08002B2CF9AE}" pid="24" name="Mendeley Citation Style_1">
    <vt:lpwstr>http://www.zotero.org/styles/apa</vt:lpwstr>
  </property>
</Properties>
</file>