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12DF8" w14:textId="3CCA777B" w:rsidR="004F64F1" w:rsidRPr="009D3646" w:rsidRDefault="009D3646">
      <w:pPr>
        <w:spacing w:line="360" w:lineRule="auto"/>
        <w:jc w:val="center"/>
        <w:rPr>
          <w:rFonts w:ascii="Times New Roman" w:hAnsi="Times New Roman"/>
          <w:b/>
          <w:bCs/>
          <w:sz w:val="28"/>
          <w:szCs w:val="28"/>
          <w:lang w:val="hu-HU"/>
        </w:rPr>
      </w:pPr>
      <w:r>
        <w:rPr>
          <w:rFonts w:ascii="Times New Roman" w:hAnsi="Times New Roman"/>
          <w:b/>
          <w:bCs/>
          <w:sz w:val="28"/>
          <w:szCs w:val="28"/>
        </w:rPr>
        <w:t xml:space="preserve">Liu, L. et al.: </w:t>
      </w:r>
      <w:r>
        <w:rPr>
          <w:rFonts w:ascii="Times New Roman" w:hAnsi="Times New Roman"/>
          <w:b/>
          <w:bCs/>
          <w:sz w:val="28"/>
          <w:szCs w:val="28"/>
        </w:rPr>
        <w:t xml:space="preserve">Compulsivity-related behavioral features of problematic usage of the internet: A </w:t>
      </w:r>
      <w:r>
        <w:rPr>
          <w:rFonts w:ascii="Times New Roman" w:hAnsi="Times New Roman"/>
          <w:b/>
          <w:bCs/>
          <w:sz w:val="28"/>
          <w:szCs w:val="28"/>
        </w:rPr>
        <w:t xml:space="preserve">scoping </w:t>
      </w:r>
      <w:r>
        <w:rPr>
          <w:rFonts w:ascii="Times New Roman" w:hAnsi="Times New Roman"/>
          <w:b/>
          <w:bCs/>
          <w:sz w:val="28"/>
          <w:szCs w:val="28"/>
        </w:rPr>
        <w:t xml:space="preserve">review of paradigms, progress, and perspectives. </w:t>
      </w:r>
      <w:hyperlink r:id="rId7" w:history="1">
        <w:r w:rsidRPr="0090281B">
          <w:rPr>
            <w:rStyle w:val="Hiperhivatkozs"/>
            <w:rFonts w:ascii="Times New Roman" w:hAnsi="Times New Roman"/>
            <w:b/>
            <w:bCs/>
            <w:sz w:val="28"/>
            <w:szCs w:val="28"/>
          </w:rPr>
          <w:t>https://doi.org/</w:t>
        </w:r>
        <w:r w:rsidRPr="0090281B">
          <w:rPr>
            <w:rStyle w:val="Hiperhivatkozs"/>
            <w:rFonts w:ascii="Times New Roman" w:hAnsi="Times New Roman"/>
            <w:b/>
            <w:bCs/>
            <w:sz w:val="28"/>
            <w:szCs w:val="28"/>
          </w:rPr>
          <w:t>10.1556/2006.2024.00023</w:t>
        </w:r>
      </w:hyperlink>
      <w:r>
        <w:rPr>
          <w:rFonts w:ascii="Times New Roman" w:hAnsi="Times New Roman"/>
          <w:b/>
          <w:bCs/>
          <w:sz w:val="28"/>
          <w:szCs w:val="28"/>
        </w:rPr>
        <w:t xml:space="preserve"> </w:t>
      </w:r>
    </w:p>
    <w:p w14:paraId="5CDD76EE" w14:textId="77777777" w:rsidR="004F64F1" w:rsidRDefault="004F64F1">
      <w:pPr>
        <w:spacing w:line="360" w:lineRule="auto"/>
        <w:jc w:val="center"/>
        <w:rPr>
          <w:rFonts w:ascii="Times New Roman" w:hAnsi="Times New Roman"/>
          <w:b/>
          <w:bCs/>
          <w:sz w:val="28"/>
          <w:szCs w:val="28"/>
        </w:rPr>
      </w:pPr>
    </w:p>
    <w:p w14:paraId="372881C5" w14:textId="2A8D674A" w:rsidR="004F64F1" w:rsidRDefault="009D3646">
      <w:pPr>
        <w:spacing w:line="360" w:lineRule="auto"/>
        <w:jc w:val="left"/>
        <w:rPr>
          <w:rFonts w:ascii="Times New Roman" w:hAnsi="Times New Roman" w:cs="Times New Roman"/>
          <w:b/>
          <w:bCs/>
          <w:i/>
          <w:iCs/>
          <w:sz w:val="24"/>
          <w:szCs w:val="32"/>
        </w:rPr>
      </w:pPr>
      <w:r>
        <w:rPr>
          <w:rFonts w:ascii="Times New Roman" w:hAnsi="Times New Roman" w:cs="Times New Roman"/>
          <w:b/>
          <w:bCs/>
          <w:i/>
          <w:iCs/>
          <w:sz w:val="24"/>
          <w:szCs w:val="32"/>
        </w:rPr>
        <w:t>Supplementary materials</w:t>
      </w:r>
    </w:p>
    <w:p w14:paraId="28073F54" w14:textId="77777777" w:rsidR="004F64F1" w:rsidRDefault="004F64F1">
      <w:pPr>
        <w:spacing w:line="360" w:lineRule="auto"/>
        <w:jc w:val="center"/>
        <w:rPr>
          <w:rFonts w:ascii="Times New Roman" w:hAnsi="Times New Roman" w:cs="Times New Roman"/>
          <w:b/>
          <w:bCs/>
          <w:i/>
          <w:iCs/>
          <w:sz w:val="24"/>
          <w:szCs w:val="32"/>
        </w:rPr>
      </w:pPr>
    </w:p>
    <w:p w14:paraId="39154E69" w14:textId="77777777" w:rsidR="004F64F1" w:rsidRDefault="009D3646">
      <w:pPr>
        <w:widowControl/>
        <w:spacing w:line="480" w:lineRule="auto"/>
        <w:ind w:firstLineChars="800" w:firstLine="1920"/>
        <w:jc w:val="left"/>
        <w:rPr>
          <w:rFonts w:ascii="Times New Roman" w:hAnsi="Times New Roman"/>
          <w:sz w:val="24"/>
        </w:rPr>
      </w:pPr>
      <w:r>
        <w:rPr>
          <w:rFonts w:ascii="Times New Roman" w:hAnsi="Times New Roman"/>
          <w:i/>
          <w:iCs/>
          <w:sz w:val="24"/>
        </w:rPr>
        <w:t>Table S1.</w:t>
      </w:r>
      <w:r>
        <w:rPr>
          <w:rFonts w:ascii="Times New Roman" w:hAnsi="Times New Roman"/>
          <w:sz w:val="24"/>
        </w:rPr>
        <w:t xml:space="preserve"> </w:t>
      </w:r>
      <w:r>
        <w:rPr>
          <w:rFonts w:ascii="Times New Roman" w:hAnsi="Times New Roman" w:hint="eastAsia"/>
          <w:sz w:val="24"/>
        </w:rPr>
        <w:t>S</w:t>
      </w:r>
      <w:r>
        <w:rPr>
          <w:rFonts w:ascii="Times New Roman" w:hAnsi="Times New Roman"/>
          <w:sz w:val="24"/>
        </w:rPr>
        <w:t>tudy quality</w:t>
      </w:r>
      <w:r>
        <w:rPr>
          <w:rFonts w:ascii="Times New Roman" w:hAnsi="Times New Roman"/>
          <w:sz w:val="24"/>
        </w:rPr>
        <w:t xml:space="preserve"> check based on </w:t>
      </w:r>
      <w:r>
        <w:rPr>
          <w:rFonts w:ascii="Times New Roman" w:hAnsi="Times New Roman" w:hint="eastAsia"/>
          <w:sz w:val="24"/>
        </w:rPr>
        <w:t>t</w:t>
      </w:r>
      <w:r>
        <w:rPr>
          <w:rFonts w:ascii="Times New Roman" w:hAnsi="Times New Roman" w:hint="eastAsia"/>
          <w:sz w:val="24"/>
        </w:rPr>
        <w:t xml:space="preserve">he </w:t>
      </w:r>
      <w:r>
        <w:rPr>
          <w:rFonts w:ascii="Times New Roman" w:hAnsi="Times New Roman"/>
          <w:sz w:val="24"/>
        </w:rPr>
        <w:t xml:space="preserve">Newcastle-Ottawa </w:t>
      </w:r>
      <w:r>
        <w:rPr>
          <w:rFonts w:ascii="Times New Roman" w:hAnsi="Times New Roman" w:hint="eastAsia"/>
          <w:sz w:val="24"/>
        </w:rPr>
        <w:t>s</w:t>
      </w:r>
      <w:r>
        <w:rPr>
          <w:rFonts w:ascii="Times New Roman" w:hAnsi="Times New Roman"/>
          <w:sz w:val="24"/>
        </w:rPr>
        <w:t>cale</w:t>
      </w:r>
      <w:r>
        <w:rPr>
          <w:rFonts w:ascii="Times New Roman" w:hAnsi="Times New Roman" w:hint="eastAsia"/>
          <w:sz w:val="24"/>
        </w:rPr>
        <w:t xml:space="preserve"> (NOS</w:t>
      </w:r>
      <w:r>
        <w:rPr>
          <w:rFonts w:ascii="Times New Roman" w:hAnsi="Times New Roman"/>
          <w:sz w:val="24"/>
        </w:rPr>
        <w:t xml:space="preserve">) for </w:t>
      </w:r>
      <w:r>
        <w:rPr>
          <w:rFonts w:ascii="Times New Roman" w:hAnsi="Times New Roman" w:hint="eastAsia"/>
          <w:sz w:val="24"/>
        </w:rPr>
        <w:t>case-control</w:t>
      </w:r>
      <w:r>
        <w:rPr>
          <w:rFonts w:ascii="Times New Roman" w:hAnsi="Times New Roman"/>
          <w:sz w:val="24"/>
        </w:rPr>
        <w:t xml:space="preserve"> study</w:t>
      </w:r>
    </w:p>
    <w:tbl>
      <w:tblPr>
        <w:tblStyle w:val="Rcsostblzat"/>
        <w:tblW w:w="1210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
        <w:gridCol w:w="2010"/>
        <w:gridCol w:w="870"/>
        <w:gridCol w:w="870"/>
        <w:gridCol w:w="1194"/>
        <w:gridCol w:w="871"/>
        <w:gridCol w:w="910"/>
        <w:gridCol w:w="894"/>
        <w:gridCol w:w="1194"/>
        <w:gridCol w:w="837"/>
        <w:gridCol w:w="838"/>
        <w:gridCol w:w="876"/>
      </w:tblGrid>
      <w:tr w:rsidR="004F64F1" w14:paraId="7FC6C33E" w14:textId="77777777">
        <w:trPr>
          <w:trHeight w:val="404"/>
          <w:jc w:val="center"/>
        </w:trPr>
        <w:tc>
          <w:tcPr>
            <w:tcW w:w="797" w:type="dxa"/>
            <w:tcBorders>
              <w:top w:val="single" w:sz="4" w:space="0" w:color="auto"/>
              <w:bottom w:val="single" w:sz="4" w:space="0" w:color="auto"/>
            </w:tcBorders>
          </w:tcPr>
          <w:p w14:paraId="016DE445" w14:textId="77777777" w:rsidR="004F64F1" w:rsidRDefault="004F64F1">
            <w:pPr>
              <w:widowControl/>
              <w:tabs>
                <w:tab w:val="left" w:pos="447"/>
              </w:tabs>
              <w:spacing w:line="288" w:lineRule="auto"/>
              <w:jc w:val="left"/>
              <w:rPr>
                <w:rFonts w:ascii="Times New Roman" w:hAnsi="Times New Roman"/>
                <w:sz w:val="22"/>
                <w:szCs w:val="22"/>
              </w:rPr>
            </w:pPr>
          </w:p>
        </w:tc>
        <w:tc>
          <w:tcPr>
            <w:tcW w:w="2126" w:type="dxa"/>
            <w:tcBorders>
              <w:top w:val="single" w:sz="4" w:space="0" w:color="auto"/>
              <w:bottom w:val="single" w:sz="4" w:space="0" w:color="auto"/>
            </w:tcBorders>
          </w:tcPr>
          <w:p w14:paraId="6FDAE189" w14:textId="77777777" w:rsidR="004F64F1" w:rsidRDefault="009D3646">
            <w:pPr>
              <w:widowControl/>
              <w:tabs>
                <w:tab w:val="left" w:pos="447"/>
              </w:tabs>
              <w:spacing w:line="288" w:lineRule="auto"/>
              <w:jc w:val="left"/>
              <w:rPr>
                <w:rFonts w:ascii="Times New Roman" w:hAnsi="Times New Roman"/>
                <w:b/>
                <w:bCs/>
                <w:sz w:val="22"/>
                <w:szCs w:val="22"/>
              </w:rPr>
            </w:pPr>
            <w:r>
              <w:rPr>
                <w:rFonts w:ascii="Times New Roman" w:hAnsi="Times New Roman"/>
                <w:b/>
                <w:bCs/>
                <w:sz w:val="22"/>
                <w:szCs w:val="22"/>
              </w:rPr>
              <w:t>Study</w:t>
            </w:r>
          </w:p>
        </w:tc>
        <w:tc>
          <w:tcPr>
            <w:tcW w:w="3736" w:type="dxa"/>
            <w:gridSpan w:val="4"/>
            <w:tcBorders>
              <w:top w:val="single" w:sz="4" w:space="0" w:color="auto"/>
              <w:bottom w:val="single" w:sz="4" w:space="0" w:color="auto"/>
            </w:tcBorders>
          </w:tcPr>
          <w:p w14:paraId="3B0B46F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b/>
                <w:bCs/>
                <w:sz w:val="22"/>
                <w:szCs w:val="22"/>
              </w:rPr>
              <w:t>Selection</w:t>
            </w:r>
            <w:r>
              <w:rPr>
                <w:rFonts w:ascii="Times New Roman" w:hAnsi="Times New Roman" w:hint="eastAsia"/>
                <w:b/>
                <w:bCs/>
                <w:sz w:val="22"/>
                <w:szCs w:val="22"/>
              </w:rPr>
              <w:t xml:space="preserve"> </w:t>
            </w:r>
          </w:p>
        </w:tc>
        <w:tc>
          <w:tcPr>
            <w:tcW w:w="1839" w:type="dxa"/>
            <w:gridSpan w:val="2"/>
            <w:tcBorders>
              <w:top w:val="single" w:sz="4" w:space="0" w:color="auto"/>
              <w:bottom w:val="single" w:sz="4" w:space="0" w:color="auto"/>
            </w:tcBorders>
          </w:tcPr>
          <w:p w14:paraId="3AAF7E2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b/>
                <w:bCs/>
                <w:sz w:val="22"/>
                <w:szCs w:val="22"/>
              </w:rPr>
              <w:t>Comparability</w:t>
            </w:r>
          </w:p>
        </w:tc>
        <w:tc>
          <w:tcPr>
            <w:tcW w:w="2717" w:type="dxa"/>
            <w:gridSpan w:val="3"/>
            <w:tcBorders>
              <w:top w:val="single" w:sz="4" w:space="0" w:color="auto"/>
              <w:bottom w:val="single" w:sz="4" w:space="0" w:color="auto"/>
            </w:tcBorders>
          </w:tcPr>
          <w:p w14:paraId="7988608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b/>
                <w:bCs/>
                <w:sz w:val="22"/>
                <w:szCs w:val="22"/>
              </w:rPr>
              <w:t>Exposure</w:t>
            </w:r>
            <w:r>
              <w:rPr>
                <w:rFonts w:ascii="Times New Roman" w:hAnsi="Times New Roman" w:hint="eastAsia"/>
                <w:b/>
                <w:bCs/>
                <w:sz w:val="22"/>
                <w:szCs w:val="22"/>
              </w:rPr>
              <w:t xml:space="preserve"> </w:t>
            </w:r>
          </w:p>
        </w:tc>
        <w:tc>
          <w:tcPr>
            <w:tcW w:w="892" w:type="dxa"/>
            <w:tcBorders>
              <w:top w:val="single" w:sz="4" w:space="0" w:color="auto"/>
              <w:bottom w:val="single" w:sz="4" w:space="0" w:color="auto"/>
            </w:tcBorders>
          </w:tcPr>
          <w:p w14:paraId="7FEB451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b/>
                <w:bCs/>
                <w:sz w:val="22"/>
                <w:szCs w:val="22"/>
              </w:rPr>
              <w:t>Total scores</w:t>
            </w:r>
          </w:p>
        </w:tc>
      </w:tr>
      <w:tr w:rsidR="004F64F1" w14:paraId="1B1EA6F9" w14:textId="77777777">
        <w:trPr>
          <w:trHeight w:val="394"/>
          <w:jc w:val="center"/>
        </w:trPr>
        <w:tc>
          <w:tcPr>
            <w:tcW w:w="797" w:type="dxa"/>
            <w:tcBorders>
              <w:top w:val="single" w:sz="4" w:space="0" w:color="auto"/>
              <w:bottom w:val="single" w:sz="4" w:space="0" w:color="auto"/>
            </w:tcBorders>
            <w:vAlign w:val="center"/>
          </w:tcPr>
          <w:p w14:paraId="073D28C6" w14:textId="77777777" w:rsidR="004F64F1" w:rsidRDefault="004F64F1">
            <w:pPr>
              <w:widowControl/>
              <w:tabs>
                <w:tab w:val="left" w:pos="447"/>
              </w:tabs>
              <w:spacing w:line="288" w:lineRule="auto"/>
              <w:rPr>
                <w:rFonts w:ascii="Times New Roman" w:hAnsi="Times New Roman"/>
                <w:sz w:val="22"/>
                <w:szCs w:val="22"/>
              </w:rPr>
            </w:pPr>
          </w:p>
        </w:tc>
        <w:tc>
          <w:tcPr>
            <w:tcW w:w="2126" w:type="dxa"/>
            <w:tcBorders>
              <w:top w:val="single" w:sz="4" w:space="0" w:color="auto"/>
              <w:bottom w:val="single" w:sz="4" w:space="0" w:color="auto"/>
            </w:tcBorders>
            <w:vAlign w:val="center"/>
          </w:tcPr>
          <w:p w14:paraId="5051E229" w14:textId="77777777" w:rsidR="004F64F1" w:rsidRDefault="004F64F1">
            <w:pPr>
              <w:widowControl/>
              <w:tabs>
                <w:tab w:val="left" w:pos="447"/>
              </w:tabs>
              <w:spacing w:line="288" w:lineRule="auto"/>
              <w:rPr>
                <w:rFonts w:ascii="Times New Roman" w:hAnsi="Times New Roman"/>
                <w:sz w:val="22"/>
                <w:szCs w:val="22"/>
              </w:rPr>
            </w:pPr>
          </w:p>
        </w:tc>
        <w:tc>
          <w:tcPr>
            <w:tcW w:w="933" w:type="dxa"/>
            <w:tcBorders>
              <w:top w:val="single" w:sz="4" w:space="0" w:color="auto"/>
              <w:bottom w:val="single" w:sz="4" w:space="0" w:color="auto"/>
            </w:tcBorders>
            <w:vAlign w:val="center"/>
          </w:tcPr>
          <w:p w14:paraId="705E1B81" w14:textId="77777777" w:rsidR="004F64F1" w:rsidRDefault="009D3646">
            <w:pPr>
              <w:widowControl/>
              <w:spacing w:line="288" w:lineRule="auto"/>
              <w:textAlignment w:val="center"/>
              <w:rPr>
                <w:rFonts w:ascii="Times New Roman" w:hAnsi="Times New Roman"/>
                <w:b/>
                <w:bCs/>
                <w:sz w:val="22"/>
                <w:szCs w:val="22"/>
              </w:rPr>
            </w:pPr>
            <w:r>
              <w:rPr>
                <w:rFonts w:ascii="Times New Roman" w:hAnsi="Times New Roman"/>
                <w:b/>
                <w:bCs/>
                <w:sz w:val="22"/>
                <w:szCs w:val="22"/>
              </w:rPr>
              <w:t>Q1</w:t>
            </w:r>
          </w:p>
        </w:tc>
        <w:tc>
          <w:tcPr>
            <w:tcW w:w="933" w:type="dxa"/>
            <w:tcBorders>
              <w:top w:val="single" w:sz="4" w:space="0" w:color="auto"/>
              <w:bottom w:val="single" w:sz="4" w:space="0" w:color="auto"/>
            </w:tcBorders>
            <w:vAlign w:val="center"/>
          </w:tcPr>
          <w:p w14:paraId="6552112F" w14:textId="77777777" w:rsidR="004F64F1" w:rsidRDefault="009D3646">
            <w:pPr>
              <w:widowControl/>
              <w:spacing w:line="288" w:lineRule="auto"/>
              <w:textAlignment w:val="center"/>
              <w:rPr>
                <w:rFonts w:ascii="Times New Roman" w:hAnsi="Times New Roman"/>
                <w:b/>
                <w:bCs/>
                <w:sz w:val="22"/>
                <w:szCs w:val="22"/>
              </w:rPr>
            </w:pPr>
            <w:r>
              <w:rPr>
                <w:rFonts w:ascii="Times New Roman" w:hAnsi="Times New Roman"/>
                <w:b/>
                <w:bCs/>
                <w:sz w:val="22"/>
                <w:szCs w:val="22"/>
              </w:rPr>
              <w:t>Q2</w:t>
            </w:r>
          </w:p>
        </w:tc>
        <w:tc>
          <w:tcPr>
            <w:tcW w:w="935" w:type="dxa"/>
            <w:tcBorders>
              <w:top w:val="single" w:sz="4" w:space="0" w:color="auto"/>
              <w:bottom w:val="single" w:sz="4" w:space="0" w:color="auto"/>
            </w:tcBorders>
            <w:vAlign w:val="center"/>
          </w:tcPr>
          <w:p w14:paraId="186A1284" w14:textId="77777777" w:rsidR="004F64F1" w:rsidRDefault="009D3646">
            <w:pPr>
              <w:widowControl/>
              <w:spacing w:line="288" w:lineRule="auto"/>
              <w:textAlignment w:val="center"/>
              <w:rPr>
                <w:rFonts w:ascii="Times New Roman" w:hAnsi="Times New Roman"/>
                <w:b/>
                <w:bCs/>
                <w:sz w:val="22"/>
                <w:szCs w:val="22"/>
              </w:rPr>
            </w:pPr>
            <w:r>
              <w:rPr>
                <w:rFonts w:ascii="Times New Roman" w:hAnsi="Times New Roman"/>
                <w:b/>
                <w:bCs/>
                <w:sz w:val="22"/>
                <w:szCs w:val="22"/>
              </w:rPr>
              <w:t>Q3</w:t>
            </w:r>
          </w:p>
        </w:tc>
        <w:tc>
          <w:tcPr>
            <w:tcW w:w="935" w:type="dxa"/>
            <w:tcBorders>
              <w:top w:val="single" w:sz="4" w:space="0" w:color="auto"/>
              <w:bottom w:val="single" w:sz="4" w:space="0" w:color="auto"/>
            </w:tcBorders>
            <w:vAlign w:val="center"/>
          </w:tcPr>
          <w:p w14:paraId="38550EA5" w14:textId="77777777" w:rsidR="004F64F1" w:rsidRDefault="009D3646">
            <w:pPr>
              <w:widowControl/>
              <w:spacing w:line="288" w:lineRule="auto"/>
              <w:textAlignment w:val="center"/>
              <w:rPr>
                <w:rFonts w:ascii="Times New Roman" w:hAnsi="Times New Roman"/>
                <w:b/>
                <w:bCs/>
                <w:sz w:val="22"/>
                <w:szCs w:val="22"/>
              </w:rPr>
            </w:pPr>
            <w:r>
              <w:rPr>
                <w:rFonts w:ascii="Times New Roman" w:hAnsi="Times New Roman"/>
                <w:b/>
                <w:bCs/>
                <w:sz w:val="22"/>
                <w:szCs w:val="22"/>
              </w:rPr>
              <w:t>Q4</w:t>
            </w:r>
          </w:p>
        </w:tc>
        <w:tc>
          <w:tcPr>
            <w:tcW w:w="919" w:type="dxa"/>
            <w:tcBorders>
              <w:top w:val="single" w:sz="4" w:space="0" w:color="auto"/>
              <w:bottom w:val="single" w:sz="4" w:space="0" w:color="auto"/>
            </w:tcBorders>
            <w:vAlign w:val="center"/>
          </w:tcPr>
          <w:p w14:paraId="321FAEBA" w14:textId="77777777" w:rsidR="004F64F1" w:rsidRDefault="009D3646">
            <w:pPr>
              <w:widowControl/>
              <w:spacing w:line="288" w:lineRule="auto"/>
              <w:textAlignment w:val="center"/>
              <w:rPr>
                <w:rFonts w:ascii="Times New Roman" w:hAnsi="Times New Roman"/>
                <w:b/>
                <w:bCs/>
                <w:sz w:val="22"/>
                <w:szCs w:val="22"/>
              </w:rPr>
            </w:pPr>
            <w:r>
              <w:rPr>
                <w:rFonts w:ascii="Times New Roman" w:hAnsi="Times New Roman"/>
                <w:b/>
                <w:bCs/>
                <w:sz w:val="22"/>
                <w:szCs w:val="22"/>
              </w:rPr>
              <w:t>Q5</w:t>
            </w:r>
            <w:r>
              <w:rPr>
                <w:rFonts w:ascii="Times New Roman" w:hAnsi="Times New Roman" w:hint="eastAsia"/>
                <w:b/>
                <w:bCs/>
                <w:sz w:val="22"/>
                <w:szCs w:val="22"/>
              </w:rPr>
              <w:t>-1</w:t>
            </w:r>
          </w:p>
        </w:tc>
        <w:tc>
          <w:tcPr>
            <w:tcW w:w="920" w:type="dxa"/>
            <w:tcBorders>
              <w:top w:val="single" w:sz="4" w:space="0" w:color="auto"/>
              <w:bottom w:val="single" w:sz="4" w:space="0" w:color="auto"/>
            </w:tcBorders>
            <w:vAlign w:val="center"/>
          </w:tcPr>
          <w:p w14:paraId="047EE6CC" w14:textId="77777777" w:rsidR="004F64F1" w:rsidRDefault="009D3646">
            <w:pPr>
              <w:widowControl/>
              <w:spacing w:line="288" w:lineRule="auto"/>
              <w:textAlignment w:val="center"/>
              <w:rPr>
                <w:rFonts w:ascii="Times New Roman" w:hAnsi="Times New Roman"/>
                <w:b/>
                <w:bCs/>
                <w:sz w:val="22"/>
                <w:szCs w:val="22"/>
              </w:rPr>
            </w:pPr>
            <w:r>
              <w:rPr>
                <w:rFonts w:ascii="Times New Roman" w:hAnsi="Times New Roman"/>
                <w:b/>
                <w:bCs/>
                <w:sz w:val="22"/>
                <w:szCs w:val="22"/>
              </w:rPr>
              <w:t>Q5</w:t>
            </w:r>
            <w:r>
              <w:rPr>
                <w:rFonts w:ascii="Times New Roman" w:hAnsi="Times New Roman" w:hint="eastAsia"/>
                <w:b/>
                <w:bCs/>
                <w:sz w:val="22"/>
                <w:szCs w:val="22"/>
              </w:rPr>
              <w:t>-2</w:t>
            </w:r>
          </w:p>
        </w:tc>
        <w:tc>
          <w:tcPr>
            <w:tcW w:w="927" w:type="dxa"/>
            <w:tcBorders>
              <w:top w:val="single" w:sz="4" w:space="0" w:color="auto"/>
              <w:bottom w:val="single" w:sz="4" w:space="0" w:color="auto"/>
            </w:tcBorders>
            <w:vAlign w:val="center"/>
          </w:tcPr>
          <w:p w14:paraId="1368CFB1" w14:textId="77777777" w:rsidR="004F64F1" w:rsidRDefault="009D3646">
            <w:pPr>
              <w:widowControl/>
              <w:spacing w:line="288" w:lineRule="auto"/>
              <w:textAlignment w:val="center"/>
              <w:rPr>
                <w:rFonts w:ascii="Times New Roman" w:hAnsi="Times New Roman"/>
                <w:b/>
                <w:bCs/>
                <w:sz w:val="22"/>
                <w:szCs w:val="22"/>
              </w:rPr>
            </w:pPr>
            <w:r>
              <w:rPr>
                <w:rFonts w:ascii="Times New Roman" w:hAnsi="Times New Roman"/>
                <w:b/>
                <w:bCs/>
                <w:sz w:val="22"/>
                <w:szCs w:val="22"/>
              </w:rPr>
              <w:t>Q6</w:t>
            </w:r>
          </w:p>
        </w:tc>
        <w:tc>
          <w:tcPr>
            <w:tcW w:w="894" w:type="dxa"/>
            <w:tcBorders>
              <w:top w:val="single" w:sz="4" w:space="0" w:color="auto"/>
              <w:bottom w:val="single" w:sz="4" w:space="0" w:color="auto"/>
            </w:tcBorders>
            <w:vAlign w:val="center"/>
          </w:tcPr>
          <w:p w14:paraId="36F479E4" w14:textId="77777777" w:rsidR="004F64F1" w:rsidRDefault="009D3646">
            <w:pPr>
              <w:widowControl/>
              <w:spacing w:line="288" w:lineRule="auto"/>
              <w:textAlignment w:val="center"/>
              <w:rPr>
                <w:rFonts w:ascii="Times New Roman" w:hAnsi="Times New Roman"/>
                <w:b/>
                <w:bCs/>
                <w:sz w:val="22"/>
                <w:szCs w:val="22"/>
              </w:rPr>
            </w:pPr>
            <w:r>
              <w:rPr>
                <w:rFonts w:ascii="Times New Roman" w:hAnsi="Times New Roman"/>
                <w:b/>
                <w:bCs/>
                <w:sz w:val="22"/>
                <w:szCs w:val="22"/>
              </w:rPr>
              <w:t>Q7</w:t>
            </w:r>
          </w:p>
        </w:tc>
        <w:tc>
          <w:tcPr>
            <w:tcW w:w="896" w:type="dxa"/>
            <w:tcBorders>
              <w:top w:val="single" w:sz="4" w:space="0" w:color="auto"/>
              <w:bottom w:val="single" w:sz="4" w:space="0" w:color="auto"/>
            </w:tcBorders>
            <w:vAlign w:val="center"/>
          </w:tcPr>
          <w:p w14:paraId="5BF4E955" w14:textId="77777777" w:rsidR="004F64F1" w:rsidRDefault="009D3646">
            <w:pPr>
              <w:widowControl/>
              <w:spacing w:line="288" w:lineRule="auto"/>
              <w:textAlignment w:val="center"/>
              <w:rPr>
                <w:rFonts w:ascii="Times New Roman" w:hAnsi="Times New Roman"/>
                <w:b/>
                <w:bCs/>
                <w:sz w:val="22"/>
                <w:szCs w:val="22"/>
              </w:rPr>
            </w:pPr>
            <w:r>
              <w:rPr>
                <w:rFonts w:ascii="Times New Roman" w:hAnsi="Times New Roman"/>
                <w:b/>
                <w:bCs/>
                <w:sz w:val="22"/>
                <w:szCs w:val="22"/>
              </w:rPr>
              <w:t>Q8</w:t>
            </w:r>
          </w:p>
        </w:tc>
        <w:tc>
          <w:tcPr>
            <w:tcW w:w="892" w:type="dxa"/>
            <w:tcBorders>
              <w:top w:val="single" w:sz="4" w:space="0" w:color="auto"/>
              <w:bottom w:val="single" w:sz="4" w:space="0" w:color="auto"/>
            </w:tcBorders>
            <w:vAlign w:val="center"/>
          </w:tcPr>
          <w:p w14:paraId="5DA842FC" w14:textId="77777777" w:rsidR="004F64F1" w:rsidRDefault="004F64F1">
            <w:pPr>
              <w:widowControl/>
              <w:spacing w:line="288" w:lineRule="auto"/>
              <w:textAlignment w:val="center"/>
              <w:rPr>
                <w:rFonts w:ascii="Times New Roman" w:hAnsi="Times New Roman"/>
                <w:b/>
                <w:bCs/>
                <w:sz w:val="22"/>
                <w:szCs w:val="22"/>
              </w:rPr>
            </w:pPr>
          </w:p>
        </w:tc>
      </w:tr>
      <w:tr w:rsidR="004F64F1" w14:paraId="4EC2905D" w14:textId="77777777">
        <w:trPr>
          <w:jc w:val="center"/>
        </w:trPr>
        <w:tc>
          <w:tcPr>
            <w:tcW w:w="797" w:type="dxa"/>
            <w:tcBorders>
              <w:top w:val="single" w:sz="4" w:space="0" w:color="auto"/>
            </w:tcBorders>
          </w:tcPr>
          <w:p w14:paraId="01F867BE"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1</w:t>
            </w:r>
          </w:p>
        </w:tc>
        <w:tc>
          <w:tcPr>
            <w:tcW w:w="2126" w:type="dxa"/>
            <w:tcBorders>
              <w:top w:val="single" w:sz="4" w:space="0" w:color="auto"/>
            </w:tcBorders>
          </w:tcPr>
          <w:p w14:paraId="31B089DD" w14:textId="77777777" w:rsidR="004F64F1" w:rsidRDefault="009D3646">
            <w:pPr>
              <w:pStyle w:val="2"/>
              <w:widowControl/>
              <w:spacing w:line="288" w:lineRule="auto"/>
              <w:textAlignment w:val="center"/>
              <w:rPr>
                <w:rFonts w:ascii="Times New Roman" w:hAnsi="Times New Roman"/>
                <w:sz w:val="22"/>
                <w:szCs w:val="22"/>
              </w:rPr>
            </w:pPr>
            <w:r>
              <w:rPr>
                <w:rFonts w:ascii="Times New Roman" w:hAnsi="Times New Roman"/>
                <w:color w:val="000000"/>
                <w:sz w:val="22"/>
                <w:szCs w:val="22"/>
              </w:rPr>
              <w:t>Banca et al., 2016</w:t>
            </w:r>
          </w:p>
        </w:tc>
        <w:tc>
          <w:tcPr>
            <w:tcW w:w="933" w:type="dxa"/>
            <w:tcBorders>
              <w:top w:val="single" w:sz="4" w:space="0" w:color="auto"/>
            </w:tcBorders>
          </w:tcPr>
          <w:p w14:paraId="5CA5B2B6" w14:textId="77777777" w:rsidR="004F64F1" w:rsidRDefault="009D3646">
            <w:pPr>
              <w:widowControl/>
              <w:spacing w:line="288" w:lineRule="auto"/>
              <w:jc w:val="left"/>
              <w:rPr>
                <w:rFonts w:ascii="Times New Roman" w:hAnsi="Times New Roman" w:cs="Times New Roman"/>
                <w:sz w:val="22"/>
                <w:szCs w:val="22"/>
              </w:rPr>
            </w:pPr>
            <w:r>
              <w:rPr>
                <w:rFonts w:ascii="Times New Roman" w:hAnsi="Times New Roman" w:cs="Times New Roman" w:hint="eastAsia"/>
                <w:sz w:val="22"/>
                <w:szCs w:val="22"/>
              </w:rPr>
              <w:t>yes</w:t>
            </w:r>
          </w:p>
        </w:tc>
        <w:tc>
          <w:tcPr>
            <w:tcW w:w="933" w:type="dxa"/>
            <w:tcBorders>
              <w:top w:val="single" w:sz="4" w:space="0" w:color="auto"/>
            </w:tcBorders>
          </w:tcPr>
          <w:p w14:paraId="5BC5CF46" w14:textId="77777777" w:rsidR="004F64F1" w:rsidRDefault="009D3646">
            <w:pPr>
              <w:widowControl/>
              <w:spacing w:line="288" w:lineRule="auto"/>
              <w:jc w:val="left"/>
              <w:rPr>
                <w:rFonts w:ascii="Times New Roman" w:hAnsi="Times New Roman" w:cs="Times New Roman"/>
                <w:sz w:val="22"/>
                <w:szCs w:val="22"/>
              </w:rPr>
            </w:pPr>
            <w:r>
              <w:rPr>
                <w:rFonts w:ascii="Times New Roman" w:hAnsi="Times New Roman" w:cs="Times New Roman" w:hint="eastAsia"/>
                <w:sz w:val="22"/>
                <w:szCs w:val="22"/>
              </w:rPr>
              <w:t>no</w:t>
            </w:r>
          </w:p>
        </w:tc>
        <w:tc>
          <w:tcPr>
            <w:tcW w:w="935" w:type="dxa"/>
            <w:tcBorders>
              <w:top w:val="single" w:sz="4" w:space="0" w:color="auto"/>
            </w:tcBorders>
          </w:tcPr>
          <w:p w14:paraId="4EADA47E" w14:textId="77777777" w:rsidR="004F64F1" w:rsidRDefault="009D3646">
            <w:pPr>
              <w:widowControl/>
              <w:spacing w:line="288" w:lineRule="auto"/>
              <w:jc w:val="left"/>
              <w:rPr>
                <w:rFonts w:ascii="Times New Roman" w:hAnsi="Times New Roman" w:cs="Times New Roman"/>
                <w:sz w:val="22"/>
                <w:szCs w:val="22"/>
              </w:rPr>
            </w:pPr>
            <w:r>
              <w:rPr>
                <w:rFonts w:ascii="Times New Roman" w:hAnsi="Times New Roman" w:cs="Times New Roman" w:hint="eastAsia"/>
                <w:sz w:val="22"/>
                <w:szCs w:val="22"/>
              </w:rPr>
              <w:t>yes</w:t>
            </w:r>
          </w:p>
        </w:tc>
        <w:tc>
          <w:tcPr>
            <w:tcW w:w="935" w:type="dxa"/>
            <w:tcBorders>
              <w:top w:val="single" w:sz="4" w:space="0" w:color="auto"/>
            </w:tcBorders>
          </w:tcPr>
          <w:p w14:paraId="768C5D79" w14:textId="77777777" w:rsidR="004F64F1" w:rsidRDefault="009D3646">
            <w:pPr>
              <w:widowControl/>
              <w:spacing w:line="288" w:lineRule="auto"/>
              <w:jc w:val="left"/>
              <w:rPr>
                <w:rFonts w:ascii="Times New Roman" w:hAnsi="Times New Roman" w:cs="Times New Roman"/>
                <w:sz w:val="22"/>
                <w:szCs w:val="22"/>
              </w:rPr>
            </w:pPr>
            <w:r>
              <w:rPr>
                <w:rFonts w:ascii="Times New Roman" w:hAnsi="Times New Roman" w:cs="Times New Roman" w:hint="eastAsia"/>
                <w:sz w:val="22"/>
                <w:szCs w:val="22"/>
              </w:rPr>
              <w:t>yes</w:t>
            </w:r>
          </w:p>
        </w:tc>
        <w:tc>
          <w:tcPr>
            <w:tcW w:w="919" w:type="dxa"/>
            <w:tcBorders>
              <w:top w:val="single" w:sz="4" w:space="0" w:color="auto"/>
            </w:tcBorders>
          </w:tcPr>
          <w:p w14:paraId="01EAD3C9" w14:textId="77777777" w:rsidR="004F64F1" w:rsidRDefault="009D3646">
            <w:pPr>
              <w:widowControl/>
              <w:spacing w:line="288" w:lineRule="auto"/>
              <w:jc w:val="left"/>
              <w:rPr>
                <w:rFonts w:ascii="Times New Roman" w:hAnsi="Times New Roman" w:cs="Times New Roman"/>
                <w:sz w:val="22"/>
                <w:szCs w:val="22"/>
              </w:rPr>
            </w:pPr>
            <w:r>
              <w:rPr>
                <w:rFonts w:ascii="Times New Roman" w:hAnsi="Times New Roman" w:cs="Times New Roman" w:hint="eastAsia"/>
                <w:sz w:val="22"/>
                <w:szCs w:val="22"/>
              </w:rPr>
              <w:t>yes</w:t>
            </w:r>
          </w:p>
        </w:tc>
        <w:tc>
          <w:tcPr>
            <w:tcW w:w="920" w:type="dxa"/>
            <w:tcBorders>
              <w:top w:val="single" w:sz="4" w:space="0" w:color="auto"/>
            </w:tcBorders>
          </w:tcPr>
          <w:p w14:paraId="28CB7DFE" w14:textId="77777777" w:rsidR="004F64F1" w:rsidRDefault="009D3646">
            <w:pPr>
              <w:widowControl/>
              <w:spacing w:line="288" w:lineRule="auto"/>
              <w:jc w:val="left"/>
              <w:rPr>
                <w:rFonts w:ascii="Times New Roman" w:hAnsi="Times New Roman" w:cs="Times New Roman"/>
                <w:sz w:val="22"/>
                <w:szCs w:val="22"/>
              </w:rPr>
            </w:pPr>
            <w:r>
              <w:rPr>
                <w:rFonts w:ascii="Times New Roman" w:hAnsi="Times New Roman" w:cs="Times New Roman" w:hint="eastAsia"/>
                <w:sz w:val="22"/>
                <w:szCs w:val="22"/>
              </w:rPr>
              <w:t>yes</w:t>
            </w:r>
          </w:p>
        </w:tc>
        <w:tc>
          <w:tcPr>
            <w:tcW w:w="927" w:type="dxa"/>
            <w:tcBorders>
              <w:top w:val="single" w:sz="4" w:space="0" w:color="auto"/>
            </w:tcBorders>
          </w:tcPr>
          <w:p w14:paraId="21AD470E" w14:textId="77777777" w:rsidR="004F64F1" w:rsidRDefault="009D3646">
            <w:pPr>
              <w:widowControl/>
              <w:spacing w:line="288" w:lineRule="auto"/>
              <w:jc w:val="left"/>
              <w:rPr>
                <w:rFonts w:ascii="Times New Roman" w:hAnsi="Times New Roman" w:cs="Times New Roman"/>
                <w:sz w:val="22"/>
                <w:szCs w:val="22"/>
              </w:rPr>
            </w:pPr>
            <w:r>
              <w:rPr>
                <w:rFonts w:ascii="Times New Roman" w:hAnsi="Times New Roman" w:cs="Times New Roman"/>
                <w:sz w:val="22"/>
                <w:szCs w:val="22"/>
                <w:lang w:val="en-GB"/>
              </w:rPr>
              <w:t>no description</w:t>
            </w:r>
          </w:p>
        </w:tc>
        <w:tc>
          <w:tcPr>
            <w:tcW w:w="894" w:type="dxa"/>
            <w:tcBorders>
              <w:top w:val="single" w:sz="4" w:space="0" w:color="auto"/>
            </w:tcBorders>
          </w:tcPr>
          <w:p w14:paraId="0F8B9D09" w14:textId="77777777" w:rsidR="004F64F1" w:rsidRDefault="009D3646">
            <w:pPr>
              <w:widowControl/>
              <w:spacing w:line="288" w:lineRule="auto"/>
              <w:jc w:val="left"/>
              <w:rPr>
                <w:rFonts w:ascii="Times New Roman" w:hAnsi="Times New Roman" w:cs="Times New Roman"/>
                <w:sz w:val="22"/>
                <w:szCs w:val="22"/>
              </w:rPr>
            </w:pPr>
            <w:r>
              <w:rPr>
                <w:rFonts w:ascii="Times New Roman" w:hAnsi="Times New Roman" w:cs="Times New Roman" w:hint="eastAsia"/>
                <w:sz w:val="22"/>
                <w:szCs w:val="22"/>
              </w:rPr>
              <w:t>yes</w:t>
            </w:r>
          </w:p>
        </w:tc>
        <w:tc>
          <w:tcPr>
            <w:tcW w:w="896" w:type="dxa"/>
            <w:tcBorders>
              <w:top w:val="single" w:sz="4" w:space="0" w:color="auto"/>
            </w:tcBorders>
          </w:tcPr>
          <w:p w14:paraId="7A14178A" w14:textId="77777777" w:rsidR="004F64F1" w:rsidRDefault="009D3646">
            <w:pPr>
              <w:widowControl/>
              <w:spacing w:line="288" w:lineRule="auto"/>
              <w:jc w:val="left"/>
              <w:rPr>
                <w:rFonts w:ascii="Times New Roman" w:hAnsi="Times New Roman" w:cs="Times New Roman"/>
                <w:sz w:val="22"/>
                <w:szCs w:val="22"/>
              </w:rPr>
            </w:pPr>
            <w:r>
              <w:rPr>
                <w:rFonts w:ascii="Times New Roman" w:hAnsi="Times New Roman" w:cs="Times New Roman" w:hint="eastAsia"/>
                <w:sz w:val="22"/>
                <w:szCs w:val="22"/>
              </w:rPr>
              <w:t>yes</w:t>
            </w:r>
          </w:p>
        </w:tc>
        <w:tc>
          <w:tcPr>
            <w:tcW w:w="892" w:type="dxa"/>
            <w:tcBorders>
              <w:top w:val="single" w:sz="4" w:space="0" w:color="auto"/>
            </w:tcBorders>
          </w:tcPr>
          <w:p w14:paraId="6FD80EF4"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140F4C28" w14:textId="77777777">
        <w:trPr>
          <w:jc w:val="center"/>
        </w:trPr>
        <w:tc>
          <w:tcPr>
            <w:tcW w:w="797" w:type="dxa"/>
          </w:tcPr>
          <w:p w14:paraId="19292504" w14:textId="77777777" w:rsidR="004F64F1" w:rsidRDefault="009D3646">
            <w:pPr>
              <w:pStyle w:val="2"/>
              <w:widowControl/>
              <w:spacing w:line="288" w:lineRule="auto"/>
              <w:textAlignment w:val="center"/>
              <w:rPr>
                <w:rFonts w:ascii="Times New Roman" w:hAnsi="Times New Roman"/>
                <w:sz w:val="22"/>
                <w:szCs w:val="22"/>
              </w:rPr>
            </w:pPr>
            <w:r>
              <w:rPr>
                <w:rFonts w:ascii="Times New Roman" w:hAnsi="Times New Roman" w:hint="eastAsia"/>
                <w:sz w:val="22"/>
                <w:szCs w:val="22"/>
              </w:rPr>
              <w:t>2</w:t>
            </w:r>
          </w:p>
        </w:tc>
        <w:tc>
          <w:tcPr>
            <w:tcW w:w="2126" w:type="dxa"/>
          </w:tcPr>
          <w:p w14:paraId="5A7DCD23" w14:textId="77777777" w:rsidR="004F64F1" w:rsidRDefault="009D3646">
            <w:pPr>
              <w:pStyle w:val="2"/>
              <w:widowControl/>
              <w:spacing w:line="288" w:lineRule="auto"/>
              <w:textAlignment w:val="center"/>
              <w:rPr>
                <w:rFonts w:ascii="Times New Roman" w:hAnsi="Times New Roman"/>
                <w:sz w:val="22"/>
                <w:szCs w:val="22"/>
              </w:rPr>
            </w:pPr>
            <w:r>
              <w:rPr>
                <w:rFonts w:ascii="Times New Roman" w:hAnsi="Times New Roman"/>
                <w:sz w:val="22"/>
                <w:szCs w:val="22"/>
              </w:rPr>
              <w:t>Raj et al., 2023</w:t>
            </w:r>
          </w:p>
        </w:tc>
        <w:tc>
          <w:tcPr>
            <w:tcW w:w="933" w:type="dxa"/>
          </w:tcPr>
          <w:p w14:paraId="2733AAE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042F5A8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27B17A6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5EB1E7E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6A1AA05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1A8653D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27" w:type="dxa"/>
          </w:tcPr>
          <w:p w14:paraId="2E4B535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1AC8401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0F4E866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5286AFB3"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0DEA9725" w14:textId="77777777">
        <w:trPr>
          <w:jc w:val="center"/>
        </w:trPr>
        <w:tc>
          <w:tcPr>
            <w:tcW w:w="797" w:type="dxa"/>
          </w:tcPr>
          <w:p w14:paraId="29E9641D"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3</w:t>
            </w:r>
          </w:p>
        </w:tc>
        <w:tc>
          <w:tcPr>
            <w:tcW w:w="2126" w:type="dxa"/>
          </w:tcPr>
          <w:p w14:paraId="79B26E3E" w14:textId="77777777" w:rsidR="004F64F1" w:rsidRDefault="009D3646">
            <w:pPr>
              <w:pStyle w:val="2"/>
              <w:widowControl/>
              <w:spacing w:line="288" w:lineRule="auto"/>
              <w:textAlignment w:val="center"/>
              <w:rPr>
                <w:rFonts w:ascii="Times New Roman" w:hAnsi="Times New Roman"/>
                <w:sz w:val="22"/>
                <w:szCs w:val="22"/>
              </w:rPr>
            </w:pPr>
            <w:r>
              <w:rPr>
                <w:rFonts w:ascii="Times New Roman" w:hAnsi="Times New Roman"/>
                <w:color w:val="000000"/>
                <w:sz w:val="22"/>
                <w:szCs w:val="22"/>
              </w:rPr>
              <w:t xml:space="preserve">Lei </w:t>
            </w:r>
            <w:r>
              <w:rPr>
                <w:rFonts w:ascii="Times New Roman" w:hAnsi="Times New Roman"/>
                <w:color w:val="000000"/>
                <w:sz w:val="22"/>
                <w:szCs w:val="22"/>
              </w:rPr>
              <w:t>et al., 2022</w:t>
            </w:r>
          </w:p>
        </w:tc>
        <w:tc>
          <w:tcPr>
            <w:tcW w:w="933" w:type="dxa"/>
          </w:tcPr>
          <w:p w14:paraId="4D3C4C3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1D43BD7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4AC7FA2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935" w:type="dxa"/>
          </w:tcPr>
          <w:p w14:paraId="74D5BE4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46F0B40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1B3675E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1355520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4B393BE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6DBBC07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56D3943C"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2DEC7BFD" w14:textId="77777777">
        <w:trPr>
          <w:jc w:val="center"/>
        </w:trPr>
        <w:tc>
          <w:tcPr>
            <w:tcW w:w="797" w:type="dxa"/>
          </w:tcPr>
          <w:p w14:paraId="7BB515A5"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4</w:t>
            </w:r>
          </w:p>
        </w:tc>
        <w:tc>
          <w:tcPr>
            <w:tcW w:w="2126" w:type="dxa"/>
          </w:tcPr>
          <w:p w14:paraId="6D0C4569"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Aydin et al., 2020</w:t>
            </w:r>
          </w:p>
        </w:tc>
        <w:tc>
          <w:tcPr>
            <w:tcW w:w="933" w:type="dxa"/>
          </w:tcPr>
          <w:p w14:paraId="0ACFD1B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61AC599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2BF55A4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7E955BF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42F6DEF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13D46C7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5752F18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24093E2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11A35F0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4380593E"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62C7A871" w14:textId="77777777">
        <w:trPr>
          <w:jc w:val="center"/>
        </w:trPr>
        <w:tc>
          <w:tcPr>
            <w:tcW w:w="797" w:type="dxa"/>
          </w:tcPr>
          <w:p w14:paraId="645D51EE"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lastRenderedPageBreak/>
              <w:t>5</w:t>
            </w:r>
          </w:p>
        </w:tc>
        <w:tc>
          <w:tcPr>
            <w:tcW w:w="2126" w:type="dxa"/>
          </w:tcPr>
          <w:p w14:paraId="6B1CFA10"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color w:val="000000"/>
                <w:sz w:val="22"/>
                <w:szCs w:val="22"/>
              </w:rPr>
              <w:t>Firoozabadi et al., 2023</w:t>
            </w:r>
          </w:p>
        </w:tc>
        <w:tc>
          <w:tcPr>
            <w:tcW w:w="933" w:type="dxa"/>
          </w:tcPr>
          <w:p w14:paraId="51B2398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3D55409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0A9CA1B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35F421A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71BAC98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25D2D23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27" w:type="dxa"/>
          </w:tcPr>
          <w:p w14:paraId="23D706B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0B29243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445F69B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1B673E24"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0EF96DFB" w14:textId="77777777">
        <w:trPr>
          <w:jc w:val="center"/>
        </w:trPr>
        <w:tc>
          <w:tcPr>
            <w:tcW w:w="797" w:type="dxa"/>
          </w:tcPr>
          <w:p w14:paraId="2095EE30"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6</w:t>
            </w:r>
          </w:p>
        </w:tc>
        <w:tc>
          <w:tcPr>
            <w:tcW w:w="2126" w:type="dxa"/>
          </w:tcPr>
          <w:p w14:paraId="32DF79EF"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Han et al., 2016</w:t>
            </w:r>
          </w:p>
        </w:tc>
        <w:tc>
          <w:tcPr>
            <w:tcW w:w="933" w:type="dxa"/>
          </w:tcPr>
          <w:p w14:paraId="42559F2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69C6EF5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0FD8861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35" w:type="dxa"/>
          </w:tcPr>
          <w:p w14:paraId="009DF88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47532AE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5CA1C90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45AA8A3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3A85CE1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3A409F0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5C219261"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67EEC556" w14:textId="77777777">
        <w:trPr>
          <w:jc w:val="center"/>
        </w:trPr>
        <w:tc>
          <w:tcPr>
            <w:tcW w:w="797" w:type="dxa"/>
          </w:tcPr>
          <w:p w14:paraId="11FCE864"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7</w:t>
            </w:r>
          </w:p>
        </w:tc>
        <w:tc>
          <w:tcPr>
            <w:tcW w:w="2126" w:type="dxa"/>
          </w:tcPr>
          <w:p w14:paraId="2E6BEC44"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Kuo et al., 2018</w:t>
            </w:r>
          </w:p>
        </w:tc>
        <w:tc>
          <w:tcPr>
            <w:tcW w:w="933" w:type="dxa"/>
          </w:tcPr>
          <w:p w14:paraId="7D53BF6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10E3807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02C3C37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2B2ED0E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3E11D10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4C8C6AC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27" w:type="dxa"/>
          </w:tcPr>
          <w:p w14:paraId="41E95CD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309A6F7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2FB2917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7082E096"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6F1889BE" w14:textId="77777777">
        <w:trPr>
          <w:jc w:val="center"/>
        </w:trPr>
        <w:tc>
          <w:tcPr>
            <w:tcW w:w="797" w:type="dxa"/>
          </w:tcPr>
          <w:p w14:paraId="4E157558"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8</w:t>
            </w:r>
          </w:p>
        </w:tc>
        <w:tc>
          <w:tcPr>
            <w:tcW w:w="2126" w:type="dxa"/>
          </w:tcPr>
          <w:p w14:paraId="28438989"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Zhou et al., 2014</w:t>
            </w:r>
          </w:p>
        </w:tc>
        <w:tc>
          <w:tcPr>
            <w:tcW w:w="933" w:type="dxa"/>
          </w:tcPr>
          <w:p w14:paraId="42001B1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191B544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487C563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65039D6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56BB093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605E03D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11C5F5B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726F760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39106FA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4698CDB6"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54B86A7C" w14:textId="77777777">
        <w:trPr>
          <w:jc w:val="center"/>
        </w:trPr>
        <w:tc>
          <w:tcPr>
            <w:tcW w:w="797" w:type="dxa"/>
          </w:tcPr>
          <w:p w14:paraId="1B693AEE"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9</w:t>
            </w:r>
          </w:p>
        </w:tc>
        <w:tc>
          <w:tcPr>
            <w:tcW w:w="2126" w:type="dxa"/>
          </w:tcPr>
          <w:p w14:paraId="2F068E82"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Zhou et al., 2016</w:t>
            </w:r>
          </w:p>
        </w:tc>
        <w:tc>
          <w:tcPr>
            <w:tcW w:w="933" w:type="dxa"/>
          </w:tcPr>
          <w:p w14:paraId="2995E71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76CF63B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0D30BE0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21F6803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08A0780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0F2935B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3AFE04B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3E07E7E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50575ED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42DDDEC8"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6B21FCEA" w14:textId="77777777">
        <w:trPr>
          <w:jc w:val="center"/>
        </w:trPr>
        <w:tc>
          <w:tcPr>
            <w:tcW w:w="797" w:type="dxa"/>
          </w:tcPr>
          <w:p w14:paraId="41D9E9FE"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10</w:t>
            </w:r>
          </w:p>
        </w:tc>
        <w:tc>
          <w:tcPr>
            <w:tcW w:w="2126" w:type="dxa"/>
          </w:tcPr>
          <w:p w14:paraId="5FF29208"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Chamberlain et al., 2018</w:t>
            </w:r>
          </w:p>
        </w:tc>
        <w:tc>
          <w:tcPr>
            <w:tcW w:w="933" w:type="dxa"/>
          </w:tcPr>
          <w:p w14:paraId="77D9382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634C756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073FE71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35" w:type="dxa"/>
          </w:tcPr>
          <w:p w14:paraId="39909FC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7C4DF03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5504D81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35E335C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68933FC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7402946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220313F9"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2E041556" w14:textId="77777777">
        <w:trPr>
          <w:jc w:val="center"/>
        </w:trPr>
        <w:tc>
          <w:tcPr>
            <w:tcW w:w="797" w:type="dxa"/>
          </w:tcPr>
          <w:p w14:paraId="11F08576"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11</w:t>
            </w:r>
          </w:p>
        </w:tc>
        <w:tc>
          <w:tcPr>
            <w:tcW w:w="2126" w:type="dxa"/>
          </w:tcPr>
          <w:p w14:paraId="533CBB6F"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Choi</w:t>
            </w:r>
            <w:r>
              <w:rPr>
                <w:rFonts w:ascii="Times New Roman" w:hAnsi="Times New Roman" w:hint="eastAsia"/>
                <w:color w:val="000000"/>
                <w:sz w:val="22"/>
                <w:szCs w:val="22"/>
              </w:rPr>
              <w:t>, kim</w:t>
            </w:r>
            <w:r>
              <w:rPr>
                <w:rFonts w:ascii="Times New Roman" w:hAnsi="Times New Roman"/>
                <w:color w:val="000000"/>
                <w:sz w:val="22"/>
                <w:szCs w:val="22"/>
              </w:rPr>
              <w:t xml:space="preserve"> et al., 2014</w:t>
            </w:r>
          </w:p>
        </w:tc>
        <w:tc>
          <w:tcPr>
            <w:tcW w:w="933" w:type="dxa"/>
          </w:tcPr>
          <w:p w14:paraId="5BEF7AA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0D42012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3833523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23E5FD6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4936D75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57F11C8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27" w:type="dxa"/>
          </w:tcPr>
          <w:p w14:paraId="57DFFF5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4752C0E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4CC069F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0CAEEE99"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2B900597" w14:textId="77777777">
        <w:trPr>
          <w:jc w:val="center"/>
        </w:trPr>
        <w:tc>
          <w:tcPr>
            <w:tcW w:w="797" w:type="dxa"/>
          </w:tcPr>
          <w:p w14:paraId="6DB34F18"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12</w:t>
            </w:r>
          </w:p>
        </w:tc>
        <w:tc>
          <w:tcPr>
            <w:tcW w:w="2126" w:type="dxa"/>
          </w:tcPr>
          <w:p w14:paraId="12EE372B"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Choi</w:t>
            </w:r>
            <w:r>
              <w:rPr>
                <w:rFonts w:ascii="Times New Roman" w:hAnsi="Times New Roman" w:hint="eastAsia"/>
                <w:color w:val="000000"/>
                <w:sz w:val="22"/>
                <w:szCs w:val="22"/>
              </w:rPr>
              <w:t>, Park</w:t>
            </w:r>
            <w:r>
              <w:rPr>
                <w:rFonts w:ascii="Times New Roman" w:hAnsi="Times New Roman"/>
                <w:color w:val="000000"/>
                <w:sz w:val="22"/>
                <w:szCs w:val="22"/>
              </w:rPr>
              <w:t xml:space="preserve"> et al., 2014</w:t>
            </w:r>
          </w:p>
        </w:tc>
        <w:tc>
          <w:tcPr>
            <w:tcW w:w="933" w:type="dxa"/>
          </w:tcPr>
          <w:p w14:paraId="57C7326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0FE4913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4EA322D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637BD59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20BCD82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07BCCD5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711DA05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189E57B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0D9712D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77B9BCE1"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1AA3827F" w14:textId="77777777">
        <w:trPr>
          <w:jc w:val="center"/>
        </w:trPr>
        <w:tc>
          <w:tcPr>
            <w:tcW w:w="797" w:type="dxa"/>
          </w:tcPr>
          <w:p w14:paraId="4F334374"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13</w:t>
            </w:r>
          </w:p>
        </w:tc>
        <w:tc>
          <w:tcPr>
            <w:tcW w:w="2126" w:type="dxa"/>
          </w:tcPr>
          <w:p w14:paraId="7CAF8B8F"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Kim et al., 2017</w:t>
            </w:r>
          </w:p>
        </w:tc>
        <w:tc>
          <w:tcPr>
            <w:tcW w:w="933" w:type="dxa"/>
          </w:tcPr>
          <w:p w14:paraId="7589E5A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463C4FD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12D00E6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52C44AD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4F7835B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51B22B0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27" w:type="dxa"/>
          </w:tcPr>
          <w:p w14:paraId="3B29EBE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524B215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274B7B4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15C3FBE7"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4AC60683" w14:textId="77777777">
        <w:trPr>
          <w:jc w:val="center"/>
        </w:trPr>
        <w:tc>
          <w:tcPr>
            <w:tcW w:w="797" w:type="dxa"/>
          </w:tcPr>
          <w:p w14:paraId="0DD1F0BF"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14</w:t>
            </w:r>
          </w:p>
        </w:tc>
        <w:tc>
          <w:tcPr>
            <w:tcW w:w="2126" w:type="dxa"/>
          </w:tcPr>
          <w:p w14:paraId="4A0D821D"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Lim et al., 2016</w:t>
            </w:r>
          </w:p>
        </w:tc>
        <w:tc>
          <w:tcPr>
            <w:tcW w:w="933" w:type="dxa"/>
          </w:tcPr>
          <w:p w14:paraId="03456B4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1930527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6DD94FE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44DABD7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16A242D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69EADAB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27" w:type="dxa"/>
          </w:tcPr>
          <w:p w14:paraId="71D5898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280AD5B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42B5B21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4F7EB3D6"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0CF1C787" w14:textId="77777777">
        <w:trPr>
          <w:jc w:val="center"/>
        </w:trPr>
        <w:tc>
          <w:tcPr>
            <w:tcW w:w="797" w:type="dxa"/>
          </w:tcPr>
          <w:p w14:paraId="29F4AD67"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15</w:t>
            </w:r>
          </w:p>
        </w:tc>
        <w:tc>
          <w:tcPr>
            <w:tcW w:w="2126" w:type="dxa"/>
          </w:tcPr>
          <w:p w14:paraId="2AAD0BC8"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Tekin et al., 2018</w:t>
            </w:r>
          </w:p>
        </w:tc>
        <w:tc>
          <w:tcPr>
            <w:tcW w:w="933" w:type="dxa"/>
          </w:tcPr>
          <w:p w14:paraId="4BA9B67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48C9157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654A7A0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753971E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37D2BC2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2A89D28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045D75A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1076885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2E5A40B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57705ECD"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2D4F11F3" w14:textId="77777777">
        <w:trPr>
          <w:jc w:val="center"/>
        </w:trPr>
        <w:tc>
          <w:tcPr>
            <w:tcW w:w="797" w:type="dxa"/>
          </w:tcPr>
          <w:p w14:paraId="32802C7B"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lastRenderedPageBreak/>
              <w:t>16</w:t>
            </w:r>
          </w:p>
        </w:tc>
        <w:tc>
          <w:tcPr>
            <w:tcW w:w="2126" w:type="dxa"/>
          </w:tcPr>
          <w:p w14:paraId="7A374B7D"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He et al., 2018</w:t>
            </w:r>
          </w:p>
        </w:tc>
        <w:tc>
          <w:tcPr>
            <w:tcW w:w="933" w:type="dxa"/>
          </w:tcPr>
          <w:p w14:paraId="3657EE5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665EBFF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5BF844F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5E79D14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025F6B9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21AE3F1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27" w:type="dxa"/>
          </w:tcPr>
          <w:p w14:paraId="34B63B2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4E083F0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2D67C78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015ECF9B"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318AD636" w14:textId="77777777">
        <w:trPr>
          <w:jc w:val="center"/>
        </w:trPr>
        <w:tc>
          <w:tcPr>
            <w:tcW w:w="797" w:type="dxa"/>
          </w:tcPr>
          <w:p w14:paraId="4D706A4C"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17</w:t>
            </w:r>
          </w:p>
        </w:tc>
        <w:tc>
          <w:tcPr>
            <w:tcW w:w="2126" w:type="dxa"/>
          </w:tcPr>
          <w:p w14:paraId="6CAAD4D7"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Jeromin et al., 2016a</w:t>
            </w:r>
          </w:p>
        </w:tc>
        <w:tc>
          <w:tcPr>
            <w:tcW w:w="933" w:type="dxa"/>
          </w:tcPr>
          <w:p w14:paraId="70B41B9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48924D0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35" w:type="dxa"/>
          </w:tcPr>
          <w:p w14:paraId="2FA2378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7D37EC2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19" w:type="dxa"/>
          </w:tcPr>
          <w:p w14:paraId="656CBA3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1731970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647C558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10E97E9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68AA7EA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6FC9F361"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6</w:t>
            </w:r>
          </w:p>
        </w:tc>
      </w:tr>
      <w:tr w:rsidR="004F64F1" w14:paraId="588429EF" w14:textId="77777777">
        <w:trPr>
          <w:jc w:val="center"/>
        </w:trPr>
        <w:tc>
          <w:tcPr>
            <w:tcW w:w="797" w:type="dxa"/>
          </w:tcPr>
          <w:p w14:paraId="3648A6C4"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18</w:t>
            </w:r>
          </w:p>
        </w:tc>
        <w:tc>
          <w:tcPr>
            <w:tcW w:w="2126" w:type="dxa"/>
          </w:tcPr>
          <w:p w14:paraId="1C327C2E"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Jeromin et al., 2016b</w:t>
            </w:r>
          </w:p>
        </w:tc>
        <w:tc>
          <w:tcPr>
            <w:tcW w:w="933" w:type="dxa"/>
          </w:tcPr>
          <w:p w14:paraId="57D2B56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4986B95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5082096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27AFFF2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19" w:type="dxa"/>
          </w:tcPr>
          <w:p w14:paraId="25DD28C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307151E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27" w:type="dxa"/>
          </w:tcPr>
          <w:p w14:paraId="0660B47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4" w:type="dxa"/>
          </w:tcPr>
          <w:p w14:paraId="46F7D1A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2C32FC1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3AFEB575"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661852BA" w14:textId="77777777">
        <w:trPr>
          <w:jc w:val="center"/>
        </w:trPr>
        <w:tc>
          <w:tcPr>
            <w:tcW w:w="797" w:type="dxa"/>
          </w:tcPr>
          <w:p w14:paraId="6149AD42"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19</w:t>
            </w:r>
          </w:p>
        </w:tc>
        <w:tc>
          <w:tcPr>
            <w:tcW w:w="2126" w:type="dxa"/>
          </w:tcPr>
          <w:p w14:paraId="6288AB58"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color w:val="000000"/>
                <w:sz w:val="22"/>
                <w:szCs w:val="22"/>
              </w:rPr>
              <w:t>Jiang et al., 2017</w:t>
            </w:r>
          </w:p>
        </w:tc>
        <w:tc>
          <w:tcPr>
            <w:tcW w:w="933" w:type="dxa"/>
          </w:tcPr>
          <w:p w14:paraId="30223E2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2CB79A0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35" w:type="dxa"/>
          </w:tcPr>
          <w:p w14:paraId="1A9C4D3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794C096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19" w:type="dxa"/>
          </w:tcPr>
          <w:p w14:paraId="7512ACD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687E3CF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27" w:type="dxa"/>
          </w:tcPr>
          <w:p w14:paraId="4DF6208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764BCA5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549E54E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592B1D85"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5</w:t>
            </w:r>
          </w:p>
        </w:tc>
      </w:tr>
      <w:tr w:rsidR="004F64F1" w14:paraId="3E23DB72" w14:textId="77777777">
        <w:trPr>
          <w:jc w:val="center"/>
        </w:trPr>
        <w:tc>
          <w:tcPr>
            <w:tcW w:w="797" w:type="dxa"/>
          </w:tcPr>
          <w:p w14:paraId="4E2A9A7D"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20</w:t>
            </w:r>
          </w:p>
        </w:tc>
        <w:tc>
          <w:tcPr>
            <w:tcW w:w="2126" w:type="dxa"/>
          </w:tcPr>
          <w:p w14:paraId="53757CFC"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L</w:t>
            </w:r>
            <w:r>
              <w:rPr>
                <w:rFonts w:ascii="Times New Roman" w:hAnsi="Times New Roman"/>
                <w:color w:val="000000"/>
                <w:sz w:val="22"/>
                <w:szCs w:val="22"/>
              </w:rPr>
              <w:t>iu et al., 2023</w:t>
            </w:r>
          </w:p>
        </w:tc>
        <w:tc>
          <w:tcPr>
            <w:tcW w:w="933" w:type="dxa"/>
          </w:tcPr>
          <w:p w14:paraId="5D48A5A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4707531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7F0BF41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089F386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19" w:type="dxa"/>
          </w:tcPr>
          <w:p w14:paraId="5F435D3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365C281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087A4EF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 xml:space="preserve">no </w:t>
            </w:r>
            <w:r>
              <w:rPr>
                <w:rFonts w:ascii="Times New Roman" w:hAnsi="Times New Roman" w:cs="Times New Roman"/>
                <w:sz w:val="22"/>
                <w:szCs w:val="22"/>
                <w:lang w:val="en-GB"/>
              </w:rPr>
              <w:t>description</w:t>
            </w:r>
          </w:p>
        </w:tc>
        <w:tc>
          <w:tcPr>
            <w:tcW w:w="894" w:type="dxa"/>
          </w:tcPr>
          <w:p w14:paraId="573479C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1330A08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4B8B680F"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59BD933A" w14:textId="77777777">
        <w:trPr>
          <w:jc w:val="center"/>
        </w:trPr>
        <w:tc>
          <w:tcPr>
            <w:tcW w:w="797" w:type="dxa"/>
          </w:tcPr>
          <w:p w14:paraId="00A66FA5"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21</w:t>
            </w:r>
          </w:p>
        </w:tc>
        <w:tc>
          <w:tcPr>
            <w:tcW w:w="2126" w:type="dxa"/>
          </w:tcPr>
          <w:p w14:paraId="0C15CE82"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Lorenz et al., 2013</w:t>
            </w:r>
          </w:p>
        </w:tc>
        <w:tc>
          <w:tcPr>
            <w:tcW w:w="933" w:type="dxa"/>
          </w:tcPr>
          <w:p w14:paraId="3BA0023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04826ED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no</w:t>
            </w:r>
          </w:p>
        </w:tc>
        <w:tc>
          <w:tcPr>
            <w:tcW w:w="935" w:type="dxa"/>
          </w:tcPr>
          <w:p w14:paraId="1AE2B80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06B98A9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17061A8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60352AF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yes</w:t>
            </w:r>
          </w:p>
        </w:tc>
        <w:tc>
          <w:tcPr>
            <w:tcW w:w="927" w:type="dxa"/>
          </w:tcPr>
          <w:p w14:paraId="72BE828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11A32AE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3BB08A2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7EB0A52C"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308830B0" w14:textId="77777777">
        <w:trPr>
          <w:trHeight w:val="473"/>
          <w:jc w:val="center"/>
        </w:trPr>
        <w:tc>
          <w:tcPr>
            <w:tcW w:w="797" w:type="dxa"/>
          </w:tcPr>
          <w:p w14:paraId="58C5F6DA"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22</w:t>
            </w:r>
          </w:p>
        </w:tc>
        <w:tc>
          <w:tcPr>
            <w:tcW w:w="2126" w:type="dxa"/>
          </w:tcPr>
          <w:p w14:paraId="3D9C00C8"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Nikolaidou et al., 2019</w:t>
            </w:r>
          </w:p>
        </w:tc>
        <w:tc>
          <w:tcPr>
            <w:tcW w:w="933" w:type="dxa"/>
          </w:tcPr>
          <w:p w14:paraId="24D6CE9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5FC0AA8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7D5B134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29FF458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19" w:type="dxa"/>
          </w:tcPr>
          <w:p w14:paraId="411B823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575E817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5F98BE9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01D582D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7708A0C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210DFBF9"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04A63B63" w14:textId="77777777">
        <w:trPr>
          <w:jc w:val="center"/>
        </w:trPr>
        <w:tc>
          <w:tcPr>
            <w:tcW w:w="797" w:type="dxa"/>
          </w:tcPr>
          <w:p w14:paraId="73C0905F"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23</w:t>
            </w:r>
          </w:p>
        </w:tc>
        <w:tc>
          <w:tcPr>
            <w:tcW w:w="2126" w:type="dxa"/>
          </w:tcPr>
          <w:p w14:paraId="3D6F94CF"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Wang and Huang, 2022</w:t>
            </w:r>
          </w:p>
        </w:tc>
        <w:tc>
          <w:tcPr>
            <w:tcW w:w="933" w:type="dxa"/>
          </w:tcPr>
          <w:p w14:paraId="7CAC8C4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028DAFA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35" w:type="dxa"/>
          </w:tcPr>
          <w:p w14:paraId="1097331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1390BCE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32AB9A7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7C51E26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6C67907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5C1CFED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5F68619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427459CF"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3FF181D9" w14:textId="77777777">
        <w:trPr>
          <w:jc w:val="center"/>
        </w:trPr>
        <w:tc>
          <w:tcPr>
            <w:tcW w:w="797" w:type="dxa"/>
          </w:tcPr>
          <w:p w14:paraId="7840E8A1"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24</w:t>
            </w:r>
          </w:p>
        </w:tc>
        <w:tc>
          <w:tcPr>
            <w:tcW w:w="2126" w:type="dxa"/>
          </w:tcPr>
          <w:p w14:paraId="6D295402"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 xml:space="preserve">Zhao et </w:t>
            </w:r>
            <w:r>
              <w:rPr>
                <w:rFonts w:ascii="Times New Roman" w:hAnsi="Times New Roman"/>
                <w:color w:val="000000"/>
                <w:sz w:val="22"/>
                <w:szCs w:val="22"/>
              </w:rPr>
              <w:t>al., 2022</w:t>
            </w:r>
          </w:p>
        </w:tc>
        <w:tc>
          <w:tcPr>
            <w:tcW w:w="933" w:type="dxa"/>
          </w:tcPr>
          <w:p w14:paraId="6588C3B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4ACA22F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47AC60D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3B0C867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6A8EE24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068B012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1DB8F73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5BF0A09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394EAA9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19F3FB04"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08903EBB" w14:textId="77777777">
        <w:trPr>
          <w:jc w:val="center"/>
        </w:trPr>
        <w:tc>
          <w:tcPr>
            <w:tcW w:w="797" w:type="dxa"/>
          </w:tcPr>
          <w:p w14:paraId="2F0F40EB"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25</w:t>
            </w:r>
          </w:p>
        </w:tc>
        <w:tc>
          <w:tcPr>
            <w:tcW w:w="2126" w:type="dxa"/>
          </w:tcPr>
          <w:p w14:paraId="773A3E1A"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Zhou et al., 2022</w:t>
            </w:r>
          </w:p>
        </w:tc>
        <w:tc>
          <w:tcPr>
            <w:tcW w:w="933" w:type="dxa"/>
          </w:tcPr>
          <w:p w14:paraId="106D574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4DB9B43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6843FDD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136D389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19" w:type="dxa"/>
          </w:tcPr>
          <w:p w14:paraId="6020770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5884468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6591845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1A8F411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04C10BB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7CEC1937"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73984D80" w14:textId="77777777">
        <w:trPr>
          <w:jc w:val="center"/>
        </w:trPr>
        <w:tc>
          <w:tcPr>
            <w:tcW w:w="797" w:type="dxa"/>
          </w:tcPr>
          <w:p w14:paraId="20C34734"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26</w:t>
            </w:r>
          </w:p>
        </w:tc>
        <w:tc>
          <w:tcPr>
            <w:tcW w:w="2126" w:type="dxa"/>
          </w:tcPr>
          <w:p w14:paraId="7E8F635D"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Metcalf and Pammer, 2011</w:t>
            </w:r>
          </w:p>
        </w:tc>
        <w:tc>
          <w:tcPr>
            <w:tcW w:w="933" w:type="dxa"/>
          </w:tcPr>
          <w:p w14:paraId="5DE3DFF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0A1315D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1938B0A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2EDE5D6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19" w:type="dxa"/>
          </w:tcPr>
          <w:p w14:paraId="23B0E9C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5504DF6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36FADB5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50BD748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0F2CCD7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44D32752"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2A085AF2" w14:textId="77777777">
        <w:trPr>
          <w:jc w:val="center"/>
        </w:trPr>
        <w:tc>
          <w:tcPr>
            <w:tcW w:w="797" w:type="dxa"/>
          </w:tcPr>
          <w:p w14:paraId="34E22A1A"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lastRenderedPageBreak/>
              <w:t>27</w:t>
            </w:r>
          </w:p>
        </w:tc>
        <w:tc>
          <w:tcPr>
            <w:tcW w:w="2126" w:type="dxa"/>
          </w:tcPr>
          <w:p w14:paraId="6375F1FF"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Zhang et al., 2016</w:t>
            </w:r>
          </w:p>
        </w:tc>
        <w:tc>
          <w:tcPr>
            <w:tcW w:w="933" w:type="dxa"/>
          </w:tcPr>
          <w:p w14:paraId="3ED1B99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0EC9128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52D760A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2BA41B0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19" w:type="dxa"/>
          </w:tcPr>
          <w:p w14:paraId="51AD70A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05C858D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927" w:type="dxa"/>
          </w:tcPr>
          <w:p w14:paraId="7206031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 xml:space="preserve">no </w:t>
            </w:r>
            <w:r>
              <w:rPr>
                <w:rFonts w:ascii="Times New Roman" w:hAnsi="Times New Roman" w:cs="Times New Roman"/>
                <w:sz w:val="22"/>
                <w:szCs w:val="22"/>
                <w:lang w:val="en-GB"/>
              </w:rPr>
              <w:t>description</w:t>
            </w:r>
          </w:p>
        </w:tc>
        <w:tc>
          <w:tcPr>
            <w:tcW w:w="894" w:type="dxa"/>
          </w:tcPr>
          <w:p w14:paraId="6BB10C9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023C5C6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60B20F78"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6</w:t>
            </w:r>
          </w:p>
        </w:tc>
      </w:tr>
      <w:tr w:rsidR="004F64F1" w14:paraId="7463EF1C" w14:textId="77777777">
        <w:trPr>
          <w:jc w:val="center"/>
        </w:trPr>
        <w:tc>
          <w:tcPr>
            <w:tcW w:w="797" w:type="dxa"/>
          </w:tcPr>
          <w:p w14:paraId="1D95B30F"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28</w:t>
            </w:r>
          </w:p>
        </w:tc>
        <w:tc>
          <w:tcPr>
            <w:tcW w:w="2126" w:type="dxa"/>
          </w:tcPr>
          <w:p w14:paraId="13030252"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Wang et al., 2018</w:t>
            </w:r>
          </w:p>
        </w:tc>
        <w:tc>
          <w:tcPr>
            <w:tcW w:w="933" w:type="dxa"/>
          </w:tcPr>
          <w:p w14:paraId="757CBC4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4D5014B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14375C0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2AD1CD6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4DC110D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02AF61E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1D4B4F9B"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6D39B6B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5A2461C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40C8DA1A"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77A03A02" w14:textId="77777777">
        <w:trPr>
          <w:jc w:val="center"/>
        </w:trPr>
        <w:tc>
          <w:tcPr>
            <w:tcW w:w="797" w:type="dxa"/>
          </w:tcPr>
          <w:p w14:paraId="38D8F2F1"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29</w:t>
            </w:r>
          </w:p>
        </w:tc>
        <w:tc>
          <w:tcPr>
            <w:tcW w:w="2126" w:type="dxa"/>
          </w:tcPr>
          <w:p w14:paraId="75ECE56F"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Liu et al., 2014</w:t>
            </w:r>
          </w:p>
        </w:tc>
        <w:tc>
          <w:tcPr>
            <w:tcW w:w="933" w:type="dxa"/>
          </w:tcPr>
          <w:p w14:paraId="1C2AC40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2FAEAE7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5B68AD80"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59D4FB4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5AB82B8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666AD35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2B3B007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118D5D6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7744E42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28F26F30"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239C4840" w14:textId="77777777">
        <w:trPr>
          <w:jc w:val="center"/>
        </w:trPr>
        <w:tc>
          <w:tcPr>
            <w:tcW w:w="797" w:type="dxa"/>
          </w:tcPr>
          <w:p w14:paraId="58DE5A0F"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30</w:t>
            </w:r>
          </w:p>
        </w:tc>
        <w:tc>
          <w:tcPr>
            <w:tcW w:w="2126" w:type="dxa"/>
          </w:tcPr>
          <w:p w14:paraId="6531CAB0"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G</w:t>
            </w:r>
            <w:r>
              <w:rPr>
                <w:rFonts w:ascii="Times New Roman" w:hAnsi="Times New Roman"/>
                <w:color w:val="000000"/>
                <w:sz w:val="22"/>
                <w:szCs w:val="22"/>
              </w:rPr>
              <w:t>ou et al., 2023</w:t>
            </w:r>
          </w:p>
        </w:tc>
        <w:tc>
          <w:tcPr>
            <w:tcW w:w="933" w:type="dxa"/>
          </w:tcPr>
          <w:p w14:paraId="4239A89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39057CD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no</w:t>
            </w:r>
          </w:p>
        </w:tc>
        <w:tc>
          <w:tcPr>
            <w:tcW w:w="935" w:type="dxa"/>
          </w:tcPr>
          <w:p w14:paraId="2293826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0FFF512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50D9694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3FA8013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2B44491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75B4DF9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36F2240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025C224B"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63F1B47A" w14:textId="77777777">
        <w:trPr>
          <w:jc w:val="center"/>
        </w:trPr>
        <w:tc>
          <w:tcPr>
            <w:tcW w:w="797" w:type="dxa"/>
          </w:tcPr>
          <w:p w14:paraId="3D8C9126"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31</w:t>
            </w:r>
          </w:p>
        </w:tc>
        <w:tc>
          <w:tcPr>
            <w:tcW w:w="2126" w:type="dxa"/>
          </w:tcPr>
          <w:p w14:paraId="54A93DBD"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Yao et al., 2015</w:t>
            </w:r>
          </w:p>
        </w:tc>
        <w:tc>
          <w:tcPr>
            <w:tcW w:w="933" w:type="dxa"/>
          </w:tcPr>
          <w:p w14:paraId="7BB25AD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0452F7F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7E008CA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7622055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1234C14A"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0CE7FB25"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3A9A63F4"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4FF9533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2AFB55E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071C4E3A"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5ECD50DC" w14:textId="77777777">
        <w:trPr>
          <w:jc w:val="center"/>
        </w:trPr>
        <w:tc>
          <w:tcPr>
            <w:tcW w:w="797" w:type="dxa"/>
          </w:tcPr>
          <w:p w14:paraId="4AA58902"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32</w:t>
            </w:r>
          </w:p>
        </w:tc>
        <w:tc>
          <w:tcPr>
            <w:tcW w:w="2126" w:type="dxa"/>
          </w:tcPr>
          <w:p w14:paraId="4B85DFA7"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Zhou et al., 2018</w:t>
            </w:r>
          </w:p>
        </w:tc>
        <w:tc>
          <w:tcPr>
            <w:tcW w:w="933" w:type="dxa"/>
          </w:tcPr>
          <w:p w14:paraId="69E1DFE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1957CA1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57F14D3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5F2B336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175FF81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57BE80D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4261D88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3EBC88C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61D772E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hint="eastAsia"/>
                <w:sz w:val="22"/>
                <w:szCs w:val="22"/>
              </w:rPr>
              <w:t>no</w:t>
            </w:r>
          </w:p>
        </w:tc>
        <w:tc>
          <w:tcPr>
            <w:tcW w:w="892" w:type="dxa"/>
          </w:tcPr>
          <w:p w14:paraId="215F4456"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7</w:t>
            </w:r>
          </w:p>
        </w:tc>
      </w:tr>
      <w:tr w:rsidR="004F64F1" w14:paraId="42774A6A" w14:textId="77777777">
        <w:trPr>
          <w:jc w:val="center"/>
        </w:trPr>
        <w:tc>
          <w:tcPr>
            <w:tcW w:w="797" w:type="dxa"/>
          </w:tcPr>
          <w:p w14:paraId="05A3FBEA"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33</w:t>
            </w:r>
          </w:p>
        </w:tc>
        <w:tc>
          <w:tcPr>
            <w:tcW w:w="2126" w:type="dxa"/>
          </w:tcPr>
          <w:p w14:paraId="7F03FA60" w14:textId="77777777" w:rsidR="004F64F1" w:rsidRDefault="009D3646">
            <w:pPr>
              <w:pStyle w:val="2"/>
              <w:widowControl/>
              <w:spacing w:line="288" w:lineRule="auto"/>
              <w:textAlignment w:val="center"/>
              <w:rPr>
                <w:rFonts w:ascii="Times New Roman" w:hAnsi="Times New Roman"/>
                <w:color w:val="000000"/>
                <w:kern w:val="2"/>
                <w:sz w:val="22"/>
                <w:szCs w:val="22"/>
              </w:rPr>
            </w:pPr>
            <w:r>
              <w:rPr>
                <w:rFonts w:ascii="Times New Roman" w:hAnsi="Times New Roman"/>
                <w:color w:val="000000"/>
                <w:sz w:val="22"/>
                <w:szCs w:val="22"/>
              </w:rPr>
              <w:t>Zhou et al., 2021</w:t>
            </w:r>
          </w:p>
        </w:tc>
        <w:tc>
          <w:tcPr>
            <w:tcW w:w="933" w:type="dxa"/>
          </w:tcPr>
          <w:p w14:paraId="56A921D2"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31835353"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16206F6C"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755F34A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60741A9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612D4C4D"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21D5155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no description</w:t>
            </w:r>
          </w:p>
        </w:tc>
        <w:tc>
          <w:tcPr>
            <w:tcW w:w="894" w:type="dxa"/>
          </w:tcPr>
          <w:p w14:paraId="069F9B1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340EADC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322EA4DC"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0285ED74" w14:textId="77777777">
        <w:trPr>
          <w:jc w:val="center"/>
        </w:trPr>
        <w:tc>
          <w:tcPr>
            <w:tcW w:w="797" w:type="dxa"/>
          </w:tcPr>
          <w:p w14:paraId="756E8AB6"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hint="eastAsia"/>
                <w:color w:val="000000"/>
                <w:sz w:val="22"/>
                <w:szCs w:val="22"/>
              </w:rPr>
              <w:t>34</w:t>
            </w:r>
          </w:p>
        </w:tc>
        <w:tc>
          <w:tcPr>
            <w:tcW w:w="2126" w:type="dxa"/>
          </w:tcPr>
          <w:p w14:paraId="2CCC6FE4" w14:textId="77777777" w:rsidR="004F64F1" w:rsidRDefault="009D3646">
            <w:pPr>
              <w:pStyle w:val="2"/>
              <w:widowControl/>
              <w:spacing w:line="288" w:lineRule="auto"/>
              <w:textAlignment w:val="center"/>
              <w:rPr>
                <w:rFonts w:ascii="Times New Roman" w:hAnsi="Times New Roman"/>
                <w:color w:val="000000"/>
                <w:sz w:val="22"/>
                <w:szCs w:val="22"/>
              </w:rPr>
            </w:pPr>
            <w:r>
              <w:rPr>
                <w:rFonts w:ascii="Times New Roman" w:hAnsi="Times New Roman"/>
                <w:color w:val="000000"/>
                <w:sz w:val="22"/>
                <w:szCs w:val="22"/>
              </w:rPr>
              <w:t>Kim et al., 2017</w:t>
            </w:r>
          </w:p>
        </w:tc>
        <w:tc>
          <w:tcPr>
            <w:tcW w:w="933" w:type="dxa"/>
          </w:tcPr>
          <w:p w14:paraId="39ED366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3" w:type="dxa"/>
          </w:tcPr>
          <w:p w14:paraId="5C4CC636"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085CF9AF"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35" w:type="dxa"/>
          </w:tcPr>
          <w:p w14:paraId="71E36FE9"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19" w:type="dxa"/>
          </w:tcPr>
          <w:p w14:paraId="3D492678"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0" w:type="dxa"/>
          </w:tcPr>
          <w:p w14:paraId="3A55A7E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927" w:type="dxa"/>
          </w:tcPr>
          <w:p w14:paraId="0318233E"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sz w:val="22"/>
                <w:szCs w:val="22"/>
                <w:lang w:val="en-GB"/>
              </w:rPr>
              <w:t xml:space="preserve">no </w:t>
            </w:r>
            <w:r>
              <w:rPr>
                <w:rFonts w:ascii="Times New Roman" w:hAnsi="Times New Roman" w:cs="Times New Roman"/>
                <w:sz w:val="22"/>
                <w:szCs w:val="22"/>
                <w:lang w:val="en-GB"/>
              </w:rPr>
              <w:t>description</w:t>
            </w:r>
          </w:p>
        </w:tc>
        <w:tc>
          <w:tcPr>
            <w:tcW w:w="894" w:type="dxa"/>
          </w:tcPr>
          <w:p w14:paraId="500CA377"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6" w:type="dxa"/>
          </w:tcPr>
          <w:p w14:paraId="0FE7F0F1" w14:textId="77777777" w:rsidR="004F64F1" w:rsidRDefault="009D3646">
            <w:pPr>
              <w:widowControl/>
              <w:spacing w:line="288" w:lineRule="auto"/>
              <w:jc w:val="left"/>
              <w:rPr>
                <w:rFonts w:ascii="Times New Roman" w:hAnsi="Times New Roman"/>
                <w:b/>
                <w:bCs/>
                <w:sz w:val="22"/>
                <w:szCs w:val="22"/>
              </w:rPr>
            </w:pPr>
            <w:r>
              <w:rPr>
                <w:rFonts w:ascii="Times New Roman" w:hAnsi="Times New Roman" w:cs="Times New Roman" w:hint="eastAsia"/>
                <w:sz w:val="22"/>
                <w:szCs w:val="22"/>
              </w:rPr>
              <w:t>yes</w:t>
            </w:r>
          </w:p>
        </w:tc>
        <w:tc>
          <w:tcPr>
            <w:tcW w:w="892" w:type="dxa"/>
          </w:tcPr>
          <w:p w14:paraId="5012F676" w14:textId="77777777" w:rsidR="004F64F1" w:rsidRDefault="009D3646">
            <w:pPr>
              <w:widowControl/>
              <w:spacing w:line="288" w:lineRule="auto"/>
              <w:jc w:val="left"/>
              <w:rPr>
                <w:rFonts w:ascii="Times New Roman" w:hAnsi="Times New Roman" w:cs="Times New Roman"/>
                <w:b/>
                <w:bCs/>
                <w:sz w:val="22"/>
                <w:szCs w:val="22"/>
              </w:rPr>
            </w:pPr>
            <w:r>
              <w:rPr>
                <w:rFonts w:ascii="Times New Roman" w:hAnsi="Times New Roman" w:cs="Times New Roman" w:hint="eastAsia"/>
                <w:b/>
                <w:bCs/>
                <w:sz w:val="22"/>
                <w:szCs w:val="22"/>
              </w:rPr>
              <w:t>8</w:t>
            </w:r>
          </w:p>
        </w:tc>
      </w:tr>
      <w:tr w:rsidR="004F64F1" w14:paraId="715233CE" w14:textId="77777777">
        <w:trPr>
          <w:trHeight w:val="108"/>
          <w:jc w:val="center"/>
        </w:trPr>
        <w:tc>
          <w:tcPr>
            <w:tcW w:w="797" w:type="dxa"/>
          </w:tcPr>
          <w:p w14:paraId="66F333C9" w14:textId="77777777" w:rsidR="004F64F1" w:rsidRDefault="004F64F1">
            <w:pPr>
              <w:widowControl/>
              <w:spacing w:line="288" w:lineRule="auto"/>
              <w:jc w:val="left"/>
              <w:rPr>
                <w:rFonts w:ascii="Times New Roman" w:hAnsi="Times New Roman"/>
                <w:sz w:val="22"/>
                <w:szCs w:val="22"/>
              </w:rPr>
            </w:pPr>
          </w:p>
        </w:tc>
        <w:tc>
          <w:tcPr>
            <w:tcW w:w="2126" w:type="dxa"/>
          </w:tcPr>
          <w:p w14:paraId="1B168C27" w14:textId="77777777" w:rsidR="004F64F1" w:rsidRDefault="004F64F1">
            <w:pPr>
              <w:widowControl/>
              <w:spacing w:line="288" w:lineRule="auto"/>
              <w:jc w:val="left"/>
              <w:rPr>
                <w:rFonts w:ascii="Times New Roman" w:hAnsi="Times New Roman"/>
                <w:sz w:val="22"/>
                <w:szCs w:val="22"/>
              </w:rPr>
            </w:pPr>
          </w:p>
        </w:tc>
        <w:tc>
          <w:tcPr>
            <w:tcW w:w="933" w:type="dxa"/>
          </w:tcPr>
          <w:p w14:paraId="4B0B6E63" w14:textId="77777777" w:rsidR="004F64F1" w:rsidRDefault="004F64F1">
            <w:pPr>
              <w:widowControl/>
              <w:spacing w:line="288" w:lineRule="auto"/>
              <w:jc w:val="left"/>
              <w:rPr>
                <w:rFonts w:ascii="Times New Roman" w:hAnsi="Times New Roman"/>
                <w:sz w:val="22"/>
                <w:szCs w:val="22"/>
              </w:rPr>
            </w:pPr>
          </w:p>
        </w:tc>
        <w:tc>
          <w:tcPr>
            <w:tcW w:w="933" w:type="dxa"/>
          </w:tcPr>
          <w:p w14:paraId="1096AAFA" w14:textId="77777777" w:rsidR="004F64F1" w:rsidRDefault="004F64F1">
            <w:pPr>
              <w:widowControl/>
              <w:spacing w:line="288" w:lineRule="auto"/>
              <w:jc w:val="left"/>
              <w:rPr>
                <w:rFonts w:ascii="Times New Roman" w:hAnsi="Times New Roman"/>
                <w:sz w:val="22"/>
                <w:szCs w:val="22"/>
              </w:rPr>
            </w:pPr>
          </w:p>
        </w:tc>
        <w:tc>
          <w:tcPr>
            <w:tcW w:w="935" w:type="dxa"/>
          </w:tcPr>
          <w:p w14:paraId="7F29F895" w14:textId="77777777" w:rsidR="004F64F1" w:rsidRDefault="004F64F1">
            <w:pPr>
              <w:widowControl/>
              <w:spacing w:line="288" w:lineRule="auto"/>
              <w:jc w:val="left"/>
              <w:rPr>
                <w:rFonts w:ascii="Times New Roman" w:hAnsi="Times New Roman"/>
                <w:sz w:val="22"/>
                <w:szCs w:val="22"/>
              </w:rPr>
            </w:pPr>
          </w:p>
        </w:tc>
        <w:tc>
          <w:tcPr>
            <w:tcW w:w="935" w:type="dxa"/>
          </w:tcPr>
          <w:p w14:paraId="08325C13" w14:textId="77777777" w:rsidR="004F64F1" w:rsidRDefault="004F64F1">
            <w:pPr>
              <w:widowControl/>
              <w:spacing w:line="288" w:lineRule="auto"/>
              <w:jc w:val="left"/>
              <w:rPr>
                <w:rFonts w:ascii="Times New Roman" w:hAnsi="Times New Roman"/>
                <w:sz w:val="22"/>
                <w:szCs w:val="22"/>
              </w:rPr>
            </w:pPr>
          </w:p>
        </w:tc>
        <w:tc>
          <w:tcPr>
            <w:tcW w:w="919" w:type="dxa"/>
          </w:tcPr>
          <w:p w14:paraId="0F0306C5" w14:textId="77777777" w:rsidR="004F64F1" w:rsidRDefault="004F64F1">
            <w:pPr>
              <w:widowControl/>
              <w:spacing w:line="288" w:lineRule="auto"/>
              <w:jc w:val="left"/>
              <w:rPr>
                <w:rFonts w:ascii="Times New Roman" w:hAnsi="Times New Roman"/>
                <w:sz w:val="22"/>
                <w:szCs w:val="22"/>
              </w:rPr>
            </w:pPr>
          </w:p>
        </w:tc>
        <w:tc>
          <w:tcPr>
            <w:tcW w:w="920" w:type="dxa"/>
          </w:tcPr>
          <w:p w14:paraId="02275A15" w14:textId="77777777" w:rsidR="004F64F1" w:rsidRDefault="004F64F1">
            <w:pPr>
              <w:widowControl/>
              <w:spacing w:line="288" w:lineRule="auto"/>
              <w:jc w:val="left"/>
              <w:rPr>
                <w:rFonts w:ascii="Times New Roman" w:hAnsi="Times New Roman"/>
                <w:sz w:val="22"/>
                <w:szCs w:val="22"/>
              </w:rPr>
            </w:pPr>
          </w:p>
        </w:tc>
        <w:tc>
          <w:tcPr>
            <w:tcW w:w="927" w:type="dxa"/>
          </w:tcPr>
          <w:p w14:paraId="3AB7990B" w14:textId="77777777" w:rsidR="004F64F1" w:rsidRDefault="004F64F1">
            <w:pPr>
              <w:widowControl/>
              <w:spacing w:line="288" w:lineRule="auto"/>
              <w:jc w:val="left"/>
              <w:rPr>
                <w:rFonts w:ascii="Times New Roman" w:hAnsi="Times New Roman"/>
                <w:sz w:val="22"/>
                <w:szCs w:val="22"/>
              </w:rPr>
            </w:pPr>
          </w:p>
        </w:tc>
        <w:tc>
          <w:tcPr>
            <w:tcW w:w="894" w:type="dxa"/>
          </w:tcPr>
          <w:p w14:paraId="3077046E" w14:textId="77777777" w:rsidR="004F64F1" w:rsidRDefault="004F64F1">
            <w:pPr>
              <w:widowControl/>
              <w:spacing w:line="288" w:lineRule="auto"/>
              <w:jc w:val="left"/>
              <w:rPr>
                <w:rFonts w:ascii="Times New Roman" w:hAnsi="Times New Roman"/>
                <w:sz w:val="22"/>
                <w:szCs w:val="22"/>
              </w:rPr>
            </w:pPr>
          </w:p>
        </w:tc>
        <w:tc>
          <w:tcPr>
            <w:tcW w:w="896" w:type="dxa"/>
          </w:tcPr>
          <w:p w14:paraId="60F1BABD" w14:textId="77777777" w:rsidR="004F64F1" w:rsidRDefault="004F64F1">
            <w:pPr>
              <w:widowControl/>
              <w:spacing w:line="288" w:lineRule="auto"/>
              <w:jc w:val="left"/>
              <w:rPr>
                <w:rFonts w:ascii="Times New Roman" w:hAnsi="Times New Roman"/>
                <w:sz w:val="22"/>
                <w:szCs w:val="22"/>
              </w:rPr>
            </w:pPr>
          </w:p>
        </w:tc>
        <w:tc>
          <w:tcPr>
            <w:tcW w:w="892" w:type="dxa"/>
          </w:tcPr>
          <w:p w14:paraId="3495C924" w14:textId="77777777" w:rsidR="004F64F1" w:rsidRDefault="004F64F1">
            <w:pPr>
              <w:widowControl/>
              <w:spacing w:line="288" w:lineRule="auto"/>
              <w:jc w:val="left"/>
              <w:rPr>
                <w:rFonts w:ascii="Times New Roman" w:hAnsi="Times New Roman"/>
                <w:sz w:val="22"/>
                <w:szCs w:val="22"/>
              </w:rPr>
            </w:pPr>
          </w:p>
        </w:tc>
      </w:tr>
    </w:tbl>
    <w:p w14:paraId="799A5BD8" w14:textId="77777777" w:rsidR="004F64F1" w:rsidRDefault="009D3646">
      <w:pPr>
        <w:pStyle w:val="Listaszerbekezds"/>
        <w:widowControl/>
        <w:ind w:left="363"/>
        <w:jc w:val="left"/>
        <w:rPr>
          <w:rFonts w:ascii="Times New Roman" w:hAnsi="Times New Roman"/>
          <w:sz w:val="20"/>
          <w:szCs w:val="20"/>
        </w:rPr>
      </w:pPr>
      <w:r>
        <w:rPr>
          <w:rFonts w:ascii="Times New Roman" w:hAnsi="Times New Roman" w:hint="eastAsia"/>
          <w:sz w:val="20"/>
          <w:szCs w:val="20"/>
        </w:rPr>
        <w:t xml:space="preserve">Key: </w:t>
      </w:r>
      <w:r>
        <w:rPr>
          <w:rFonts w:ascii="Times New Roman" w:hAnsi="Times New Roman"/>
          <w:sz w:val="20"/>
          <w:szCs w:val="20"/>
        </w:rPr>
        <w:t>Q1: Is the case definition adequate?</w:t>
      </w:r>
      <w:r>
        <w:rPr>
          <w:rFonts w:ascii="Times New Roman" w:hAnsi="Times New Roman" w:hint="eastAsia"/>
          <w:sz w:val="20"/>
          <w:szCs w:val="20"/>
        </w:rPr>
        <w:t xml:space="preserve"> (*); </w:t>
      </w:r>
      <w:r>
        <w:rPr>
          <w:rFonts w:ascii="Times New Roman" w:hAnsi="Times New Roman"/>
          <w:sz w:val="20"/>
          <w:szCs w:val="20"/>
        </w:rPr>
        <w:t>Q2: Representativeness of the cases</w:t>
      </w:r>
      <w:r>
        <w:rPr>
          <w:rFonts w:ascii="Times New Roman" w:hAnsi="Times New Roman" w:hint="eastAsia"/>
          <w:sz w:val="20"/>
          <w:szCs w:val="20"/>
        </w:rPr>
        <w:t xml:space="preserve"> (*); </w:t>
      </w:r>
      <w:r>
        <w:rPr>
          <w:rFonts w:ascii="Times New Roman" w:hAnsi="Times New Roman"/>
          <w:sz w:val="20"/>
          <w:szCs w:val="20"/>
        </w:rPr>
        <w:t>Q3: Selection of Controls</w:t>
      </w:r>
      <w:r>
        <w:rPr>
          <w:rFonts w:ascii="Times New Roman" w:hAnsi="Times New Roman" w:hint="eastAsia"/>
          <w:sz w:val="20"/>
          <w:szCs w:val="20"/>
        </w:rPr>
        <w:t xml:space="preserve"> (*); </w:t>
      </w:r>
      <w:r>
        <w:rPr>
          <w:rFonts w:ascii="Times New Roman" w:hAnsi="Times New Roman"/>
          <w:sz w:val="20"/>
          <w:szCs w:val="20"/>
        </w:rPr>
        <w:t>Q4: Definition of Controls</w:t>
      </w:r>
      <w:r>
        <w:rPr>
          <w:rFonts w:ascii="Times New Roman" w:hAnsi="Times New Roman" w:hint="eastAsia"/>
          <w:sz w:val="20"/>
          <w:szCs w:val="20"/>
        </w:rPr>
        <w:t xml:space="preserve"> (*); </w:t>
      </w:r>
      <w:r>
        <w:rPr>
          <w:rFonts w:ascii="Times New Roman" w:hAnsi="Times New Roman"/>
          <w:sz w:val="20"/>
          <w:szCs w:val="20"/>
        </w:rPr>
        <w:t xml:space="preserve">Q5: </w:t>
      </w:r>
      <w:r>
        <w:rPr>
          <w:rFonts w:ascii="Times New Roman" w:hAnsi="Times New Roman"/>
          <w:sz w:val="20"/>
          <w:szCs w:val="20"/>
          <w:lang w:val="en-GB"/>
        </w:rPr>
        <w:t xml:space="preserve">Comparability of cases and controls on the basis of the </w:t>
      </w:r>
      <w:r>
        <w:rPr>
          <w:rFonts w:ascii="Times New Roman" w:hAnsi="Times New Roman"/>
          <w:sz w:val="20"/>
          <w:szCs w:val="20"/>
          <w:lang w:val="en-GB"/>
        </w:rPr>
        <w:t>design or analysis</w:t>
      </w:r>
      <w:r>
        <w:rPr>
          <w:rFonts w:ascii="Times New Roman" w:hAnsi="Times New Roman" w:hint="eastAsia"/>
          <w:sz w:val="20"/>
          <w:szCs w:val="20"/>
        </w:rPr>
        <w:t xml:space="preserve"> (*</w:t>
      </w:r>
      <w:r>
        <w:rPr>
          <w:rFonts w:ascii="Times New Roman" w:hAnsi="Times New Roman" w:cs="Times New Roman"/>
          <w:sz w:val="20"/>
          <w:szCs w:val="20"/>
        </w:rPr>
        <w:t xml:space="preserve">for </w:t>
      </w:r>
      <w:r>
        <w:rPr>
          <w:rFonts w:ascii="Times New Roman" w:hAnsi="Times New Roman" w:cs="Times New Roman" w:hint="eastAsia"/>
          <w:sz w:val="20"/>
          <w:szCs w:val="20"/>
        </w:rPr>
        <w:t>most</w:t>
      </w:r>
      <w:r>
        <w:rPr>
          <w:rFonts w:ascii="Times New Roman" w:hAnsi="Times New Roman" w:cs="Times New Roman"/>
          <w:sz w:val="20"/>
          <w:szCs w:val="20"/>
        </w:rPr>
        <w:t xml:space="preserve"> important factor</w:t>
      </w:r>
      <w:r>
        <w:rPr>
          <w:rFonts w:ascii="Times New Roman" w:hAnsi="Times New Roman" w:cs="Times New Roman" w:hint="eastAsia"/>
          <w:sz w:val="20"/>
          <w:szCs w:val="20"/>
        </w:rPr>
        <w:t xml:space="preserve">; </w:t>
      </w:r>
      <w:r>
        <w:rPr>
          <w:rFonts w:ascii="Times New Roman" w:hAnsi="Times New Roman" w:hint="eastAsia"/>
          <w:sz w:val="20"/>
          <w:szCs w:val="20"/>
        </w:rPr>
        <w:t xml:space="preserve">for a second important factor*); </w:t>
      </w:r>
      <w:r>
        <w:rPr>
          <w:rFonts w:ascii="Times New Roman" w:hAnsi="Times New Roman"/>
          <w:sz w:val="20"/>
          <w:szCs w:val="20"/>
        </w:rPr>
        <w:t>Q6: Ascertainment of exposure</w:t>
      </w:r>
      <w:r>
        <w:rPr>
          <w:rFonts w:ascii="Times New Roman" w:hAnsi="Times New Roman" w:hint="eastAsia"/>
          <w:sz w:val="20"/>
          <w:szCs w:val="20"/>
        </w:rPr>
        <w:t xml:space="preserve"> (*); </w:t>
      </w:r>
      <w:r>
        <w:rPr>
          <w:rFonts w:ascii="Times New Roman" w:hAnsi="Times New Roman"/>
          <w:sz w:val="20"/>
          <w:szCs w:val="20"/>
        </w:rPr>
        <w:t>Q7:</w:t>
      </w:r>
      <w:r>
        <w:rPr>
          <w:rFonts w:ascii="Times New Roman" w:hAnsi="Times New Roman" w:hint="eastAsia"/>
          <w:sz w:val="20"/>
          <w:szCs w:val="20"/>
        </w:rPr>
        <w:t xml:space="preserve"> Same method of ascertainment for cases and controls (*); </w:t>
      </w:r>
      <w:r>
        <w:rPr>
          <w:rFonts w:ascii="Times New Roman" w:hAnsi="Times New Roman"/>
          <w:sz w:val="20"/>
          <w:szCs w:val="20"/>
        </w:rPr>
        <w:t>Q8: Non-Response rate</w:t>
      </w:r>
      <w:r>
        <w:rPr>
          <w:rFonts w:ascii="Times New Roman" w:hAnsi="Times New Roman" w:hint="eastAsia"/>
          <w:sz w:val="20"/>
          <w:szCs w:val="20"/>
        </w:rPr>
        <w:t xml:space="preserve"> (*)</w:t>
      </w:r>
    </w:p>
    <w:p w14:paraId="31C270F8" w14:textId="77777777" w:rsidR="004F64F1" w:rsidRDefault="004F64F1">
      <w:pPr>
        <w:pStyle w:val="Listaszerbekezds"/>
        <w:widowControl/>
        <w:ind w:left="363"/>
        <w:jc w:val="left"/>
        <w:rPr>
          <w:rFonts w:ascii="Times New Roman" w:hAnsi="Times New Roman"/>
          <w:sz w:val="20"/>
          <w:szCs w:val="20"/>
        </w:rPr>
      </w:pPr>
    </w:p>
    <w:p w14:paraId="0B74AB8B" w14:textId="77777777" w:rsidR="004F64F1" w:rsidRDefault="004F64F1"/>
    <w:p w14:paraId="15E5B7FC" w14:textId="77777777" w:rsidR="004F64F1" w:rsidRDefault="009D3646">
      <w:pPr>
        <w:widowControl/>
        <w:jc w:val="left"/>
        <w:rPr>
          <w:rFonts w:ascii="Times New Roman" w:hAnsi="Times New Roman" w:cs="Times New Roman"/>
          <w:sz w:val="22"/>
          <w:szCs w:val="28"/>
        </w:rPr>
      </w:pPr>
      <w:r>
        <w:rPr>
          <w:rFonts w:ascii="Times New Roman" w:hAnsi="Times New Roman" w:cs="Times New Roman"/>
          <w:sz w:val="22"/>
          <w:szCs w:val="28"/>
        </w:rPr>
        <w:br w:type="page"/>
      </w:r>
    </w:p>
    <w:tbl>
      <w:tblPr>
        <w:tblStyle w:val="Rcsostblzat"/>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27"/>
        <w:gridCol w:w="5447"/>
      </w:tblGrid>
      <w:tr w:rsidR="004F64F1" w14:paraId="4CA1608F" w14:textId="77777777">
        <w:trPr>
          <w:trHeight w:val="505"/>
        </w:trPr>
        <w:tc>
          <w:tcPr>
            <w:tcW w:w="14174" w:type="dxa"/>
            <w:gridSpan w:val="2"/>
            <w:tcBorders>
              <w:top w:val="single" w:sz="8" w:space="0" w:color="auto"/>
              <w:bottom w:val="single" w:sz="8" w:space="0" w:color="auto"/>
            </w:tcBorders>
          </w:tcPr>
          <w:p w14:paraId="28CFF2C6" w14:textId="77777777" w:rsidR="004F64F1" w:rsidRDefault="009D3646">
            <w:pPr>
              <w:rPr>
                <w:rFonts w:ascii="Times New Roman" w:hAnsi="Times New Roman"/>
                <w:b/>
                <w:bCs/>
                <w:sz w:val="24"/>
                <w:szCs w:val="32"/>
              </w:rPr>
            </w:pPr>
            <w:r>
              <w:rPr>
                <w:rFonts w:ascii="Times New Roman" w:hAnsi="Times New Roman" w:hint="eastAsia"/>
                <w:b/>
                <w:bCs/>
                <w:sz w:val="24"/>
                <w:szCs w:val="32"/>
              </w:rPr>
              <w:lastRenderedPageBreak/>
              <w:t>Box</w:t>
            </w:r>
            <w:r>
              <w:rPr>
                <w:rFonts w:ascii="Times New Roman" w:hAnsi="Times New Roman"/>
                <w:b/>
                <w:bCs/>
                <w:sz w:val="24"/>
                <w:szCs w:val="32"/>
              </w:rPr>
              <w:t xml:space="preserve"> 1. Description of the </w:t>
            </w:r>
            <w:r>
              <w:rPr>
                <w:rFonts w:ascii="Times New Roman" w:hAnsi="Times New Roman" w:hint="eastAsia"/>
                <w:b/>
                <w:bCs/>
                <w:sz w:val="24"/>
                <w:szCs w:val="32"/>
              </w:rPr>
              <w:t>N</w:t>
            </w:r>
            <w:r>
              <w:rPr>
                <w:rFonts w:ascii="Times New Roman" w:hAnsi="Times New Roman"/>
                <w:b/>
                <w:bCs/>
                <w:sz w:val="24"/>
                <w:szCs w:val="32"/>
              </w:rPr>
              <w:t>eurocognitive</w:t>
            </w:r>
            <w:r>
              <w:rPr>
                <w:rFonts w:ascii="Times New Roman" w:hAnsi="Times New Roman" w:hint="eastAsia"/>
                <w:b/>
                <w:bCs/>
                <w:sz w:val="24"/>
                <w:szCs w:val="32"/>
              </w:rPr>
              <w:t xml:space="preserve"> </w:t>
            </w:r>
            <w:r>
              <w:rPr>
                <w:rFonts w:ascii="Times New Roman" w:hAnsi="Times New Roman"/>
                <w:b/>
                <w:bCs/>
                <w:sz w:val="24"/>
                <w:szCs w:val="32"/>
              </w:rPr>
              <w:t>Tasks Measuring</w:t>
            </w:r>
            <w:r>
              <w:rPr>
                <w:rFonts w:ascii="Times New Roman" w:hAnsi="Times New Roman" w:hint="eastAsia"/>
                <w:b/>
                <w:bCs/>
                <w:sz w:val="24"/>
                <w:szCs w:val="32"/>
              </w:rPr>
              <w:t xml:space="preserve"> the Four Domains of Compulsivity</w:t>
            </w:r>
          </w:p>
        </w:tc>
      </w:tr>
      <w:tr w:rsidR="004F64F1" w14:paraId="3281B94A" w14:textId="77777777">
        <w:tc>
          <w:tcPr>
            <w:tcW w:w="8727" w:type="dxa"/>
            <w:tcBorders>
              <w:top w:val="single" w:sz="8" w:space="0" w:color="auto"/>
            </w:tcBorders>
          </w:tcPr>
          <w:p w14:paraId="6602247D" w14:textId="77777777" w:rsidR="004F64F1" w:rsidRDefault="009D3646">
            <w:pPr>
              <w:spacing w:beforeLines="50" w:before="156" w:line="360" w:lineRule="auto"/>
              <w:rPr>
                <w:rFonts w:ascii="Times New Roman" w:hAnsi="Times New Roman"/>
                <w:b/>
                <w:bCs/>
                <w:sz w:val="24"/>
              </w:rPr>
            </w:pPr>
            <w:r>
              <w:rPr>
                <w:rFonts w:ascii="Times New Roman" w:hAnsi="Times New Roman" w:hint="eastAsia"/>
                <w:b/>
                <w:bCs/>
                <w:sz w:val="24"/>
              </w:rPr>
              <w:t>C</w:t>
            </w:r>
            <w:r>
              <w:rPr>
                <w:rFonts w:ascii="Times New Roman" w:hAnsi="Times New Roman"/>
                <w:b/>
                <w:bCs/>
                <w:sz w:val="24"/>
              </w:rPr>
              <w:t>ognitive flexibility</w:t>
            </w:r>
          </w:p>
        </w:tc>
        <w:tc>
          <w:tcPr>
            <w:tcW w:w="5447" w:type="dxa"/>
            <w:tcBorders>
              <w:top w:val="single" w:sz="8" w:space="0" w:color="auto"/>
            </w:tcBorders>
          </w:tcPr>
          <w:p w14:paraId="7B3EC7BE" w14:textId="77777777" w:rsidR="004F64F1" w:rsidRDefault="004F64F1">
            <w:pPr>
              <w:rPr>
                <w:rFonts w:ascii="Times New Roman" w:hAnsi="Times New Roman"/>
                <w:b/>
                <w:bCs/>
                <w:sz w:val="22"/>
                <w:szCs w:val="28"/>
              </w:rPr>
            </w:pPr>
          </w:p>
        </w:tc>
      </w:tr>
      <w:tr w:rsidR="004F64F1" w14:paraId="620A5474" w14:textId="77777777">
        <w:trPr>
          <w:trHeight w:val="4334"/>
        </w:trPr>
        <w:tc>
          <w:tcPr>
            <w:tcW w:w="8727" w:type="dxa"/>
            <w:tcBorders>
              <w:bottom w:val="single" w:sz="4" w:space="0" w:color="auto"/>
            </w:tcBorders>
          </w:tcPr>
          <w:p w14:paraId="35AE09B3" w14:textId="77777777" w:rsidR="004F64F1" w:rsidRDefault="009D3646">
            <w:pPr>
              <w:spacing w:line="288" w:lineRule="auto"/>
              <w:rPr>
                <w:rFonts w:ascii="Times New Roman" w:hAnsi="Times New Roman"/>
                <w:sz w:val="24"/>
              </w:rPr>
            </w:pPr>
            <w:r>
              <w:rPr>
                <w:rFonts w:ascii="Times New Roman" w:hAnsi="Times New Roman" w:hint="eastAsia"/>
                <w:sz w:val="24"/>
              </w:rPr>
              <w:t>A</w:t>
            </w:r>
            <w:r>
              <w:rPr>
                <w:rFonts w:ascii="Times New Roman" w:hAnsi="Times New Roman"/>
                <w:sz w:val="24"/>
              </w:rPr>
              <w:t>. The reversal learning task measures the ability to learn be</w:t>
            </w:r>
            <w:r>
              <w:rPr>
                <w:rFonts w:ascii="Times New Roman" w:hAnsi="Times New Roman" w:hint="eastAsia"/>
                <w:sz w:val="24"/>
              </w:rPr>
              <w:t>tter</w:t>
            </w:r>
            <w:r>
              <w:rPr>
                <w:rFonts w:ascii="Times New Roman" w:hAnsi="Times New Roman"/>
                <w:sz w:val="24"/>
              </w:rPr>
              <w:t xml:space="preserve"> </w:t>
            </w:r>
            <w:r>
              <w:rPr>
                <w:rFonts w:ascii="Times New Roman" w:hAnsi="Times New Roman" w:hint="eastAsia"/>
                <w:sz w:val="24"/>
              </w:rPr>
              <w:t>pattern</w:t>
            </w:r>
            <w:r>
              <w:rPr>
                <w:rFonts w:ascii="Times New Roman" w:hAnsi="Times New Roman"/>
                <w:sz w:val="24"/>
              </w:rPr>
              <w:t>s of action and</w:t>
            </w:r>
            <w:r>
              <w:rPr>
                <w:rFonts w:ascii="Times New Roman" w:hAnsi="Times New Roman" w:hint="eastAsia"/>
                <w:sz w:val="24"/>
              </w:rPr>
              <w:t xml:space="preserve"> </w:t>
            </w:r>
            <w:r>
              <w:rPr>
                <w:rFonts w:ascii="Times New Roman" w:hAnsi="Times New Roman"/>
                <w:sz w:val="24"/>
              </w:rPr>
              <w:t>flexib</w:t>
            </w:r>
            <w:r>
              <w:rPr>
                <w:rFonts w:ascii="Times New Roman" w:hAnsi="Times New Roman" w:hint="eastAsia"/>
                <w:sz w:val="24"/>
              </w:rPr>
              <w:t>i</w:t>
            </w:r>
            <w:r>
              <w:rPr>
                <w:rFonts w:ascii="Times New Roman" w:hAnsi="Times New Roman"/>
                <w:sz w:val="24"/>
              </w:rPr>
              <w:t>l</w:t>
            </w:r>
            <w:r>
              <w:rPr>
                <w:rFonts w:ascii="Times New Roman" w:hAnsi="Times New Roman" w:hint="eastAsia"/>
                <w:sz w:val="24"/>
              </w:rPr>
              <w:t>it</w:t>
            </w:r>
            <w:r>
              <w:rPr>
                <w:rFonts w:ascii="Times New Roman" w:hAnsi="Times New Roman"/>
                <w:sz w:val="24"/>
              </w:rPr>
              <w:t xml:space="preserve">y </w:t>
            </w:r>
            <w:r>
              <w:rPr>
                <w:rFonts w:ascii="Times New Roman" w:hAnsi="Times New Roman" w:hint="eastAsia"/>
                <w:sz w:val="24"/>
              </w:rPr>
              <w:t xml:space="preserve">of </w:t>
            </w:r>
            <w:r>
              <w:rPr>
                <w:rFonts w:ascii="Times New Roman" w:hAnsi="Times New Roman"/>
                <w:sz w:val="24"/>
              </w:rPr>
              <w:t xml:space="preserve">behavior. </w:t>
            </w:r>
            <w:r>
              <w:rPr>
                <w:rFonts w:ascii="Times New Roman" w:hAnsi="Times New Roman" w:hint="eastAsia"/>
                <w:sz w:val="24"/>
              </w:rPr>
              <w:t xml:space="preserve">The </w:t>
            </w:r>
            <w:r>
              <w:rPr>
                <w:rFonts w:ascii="Times New Roman" w:hAnsi="Times New Roman"/>
                <w:sz w:val="24"/>
              </w:rPr>
              <w:t>reversal learning</w:t>
            </w:r>
            <w:r>
              <w:rPr>
                <w:rFonts w:ascii="Times New Roman" w:hAnsi="Times New Roman" w:hint="eastAsia"/>
                <w:sz w:val="24"/>
              </w:rPr>
              <w:t xml:space="preserve"> tasks with visual stimuli require the participant to</w:t>
            </w:r>
            <w:r>
              <w:rPr>
                <w:rFonts w:ascii="Times New Roman" w:hAnsi="Times New Roman"/>
                <w:sz w:val="24"/>
              </w:rPr>
              <w:t xml:space="preserve"> </w:t>
            </w:r>
            <w:r>
              <w:rPr>
                <w:rFonts w:ascii="Times New Roman" w:hAnsi="Times New Roman" w:hint="eastAsia"/>
                <w:sz w:val="24"/>
              </w:rPr>
              <w:t>make a</w:t>
            </w:r>
            <w:r>
              <w:rPr>
                <w:rFonts w:ascii="Times New Roman" w:hAnsi="Times New Roman"/>
                <w:sz w:val="24"/>
              </w:rPr>
              <w:t xml:space="preserve"> visual discrimination </w:t>
            </w:r>
            <w:r>
              <w:rPr>
                <w:rFonts w:ascii="Times New Roman" w:hAnsi="Times New Roman" w:hint="eastAsia"/>
                <w:sz w:val="24"/>
              </w:rPr>
              <w:t xml:space="preserve">between </w:t>
            </w:r>
            <w:r>
              <w:rPr>
                <w:rFonts w:ascii="Times New Roman" w:hAnsi="Times New Roman"/>
                <w:sz w:val="24"/>
              </w:rPr>
              <w:t xml:space="preserve">stimuli that are deterministically (i.e., 100:0 reward for the 2 alternatives) or probabilistically (e.g., </w:t>
            </w:r>
            <w:r>
              <w:rPr>
                <w:rFonts w:ascii="Times New Roman" w:hAnsi="Times New Roman" w:hint="eastAsia"/>
                <w:sz w:val="24"/>
              </w:rPr>
              <w:t>7</w:t>
            </w:r>
            <w:r>
              <w:rPr>
                <w:rFonts w:ascii="Times New Roman" w:hAnsi="Times New Roman"/>
                <w:sz w:val="24"/>
              </w:rPr>
              <w:t>0:</w:t>
            </w:r>
            <w:r>
              <w:rPr>
                <w:rFonts w:ascii="Times New Roman" w:hAnsi="Times New Roman" w:hint="eastAsia"/>
                <w:sz w:val="24"/>
              </w:rPr>
              <w:t>3</w:t>
            </w:r>
            <w:r>
              <w:rPr>
                <w:rFonts w:ascii="Times New Roman" w:hAnsi="Times New Roman"/>
                <w:sz w:val="24"/>
              </w:rPr>
              <w:t xml:space="preserve">0) rewarded with positive or negative </w:t>
            </w:r>
            <w:r>
              <w:rPr>
                <w:rFonts w:ascii="Times New Roman" w:hAnsi="Times New Roman" w:hint="eastAsia"/>
                <w:sz w:val="24"/>
              </w:rPr>
              <w:t>feedback</w:t>
            </w:r>
            <w:r>
              <w:rPr>
                <w:rFonts w:ascii="Times New Roman" w:hAnsi="Times New Roman"/>
                <w:sz w:val="24"/>
              </w:rPr>
              <w:t xml:space="preserve">. The </w:t>
            </w:r>
            <w:r>
              <w:rPr>
                <w:rFonts w:ascii="Times New Roman" w:hAnsi="Times New Roman" w:hint="eastAsia"/>
                <w:sz w:val="24"/>
              </w:rPr>
              <w:t>pa</w:t>
            </w:r>
            <w:r>
              <w:rPr>
                <w:rFonts w:ascii="Times New Roman" w:hAnsi="Times New Roman" w:hint="eastAsia"/>
                <w:sz w:val="24"/>
              </w:rPr>
              <w:t xml:space="preserve">rticipant </w:t>
            </w:r>
            <w:r>
              <w:rPr>
                <w:rFonts w:ascii="Times New Roman" w:hAnsi="Times New Roman"/>
                <w:sz w:val="24"/>
              </w:rPr>
              <w:t xml:space="preserve">should learn to respond to the stimulus </w:t>
            </w:r>
            <w:r>
              <w:rPr>
                <w:rFonts w:ascii="Times New Roman" w:hAnsi="Times New Roman" w:hint="eastAsia"/>
                <w:sz w:val="24"/>
              </w:rPr>
              <w:t xml:space="preserve">that is </w:t>
            </w:r>
            <w:r>
              <w:rPr>
                <w:rFonts w:ascii="Times New Roman" w:hAnsi="Times New Roman"/>
                <w:sz w:val="24"/>
              </w:rPr>
              <w:t xml:space="preserve">most often </w:t>
            </w:r>
            <w:r>
              <w:rPr>
                <w:rFonts w:ascii="Times New Roman" w:hAnsi="Times New Roman" w:hint="eastAsia"/>
                <w:sz w:val="24"/>
              </w:rPr>
              <w:t>rewarded</w:t>
            </w:r>
            <w:r>
              <w:rPr>
                <w:rFonts w:ascii="Times New Roman" w:hAnsi="Times New Roman"/>
                <w:sz w:val="24"/>
              </w:rPr>
              <w:t>. At reversal, the frequently rewarded stimulus bec</w:t>
            </w:r>
            <w:r>
              <w:rPr>
                <w:rFonts w:ascii="Times New Roman" w:hAnsi="Times New Roman" w:hint="eastAsia"/>
                <w:sz w:val="24"/>
              </w:rPr>
              <w:t>o</w:t>
            </w:r>
            <w:r>
              <w:rPr>
                <w:rFonts w:ascii="Times New Roman" w:hAnsi="Times New Roman"/>
                <w:sz w:val="24"/>
              </w:rPr>
              <w:t>me</w:t>
            </w:r>
            <w:r>
              <w:rPr>
                <w:rFonts w:ascii="Times New Roman" w:hAnsi="Times New Roman" w:hint="eastAsia"/>
                <w:sz w:val="24"/>
              </w:rPr>
              <w:t>s</w:t>
            </w:r>
            <w:r>
              <w:rPr>
                <w:rFonts w:ascii="Times New Roman" w:hAnsi="Times New Roman"/>
                <w:sz w:val="24"/>
              </w:rPr>
              <w:t xml:space="preserve"> frequently punished and vice versa</w:t>
            </w:r>
            <w:r>
              <w:rPr>
                <w:rFonts w:ascii="Times New Roman" w:hAnsi="Times New Roman" w:hint="eastAsia"/>
                <w:sz w:val="24"/>
              </w:rPr>
              <w:t xml:space="preserve">, so </w:t>
            </w:r>
            <w:r>
              <w:rPr>
                <w:rFonts w:ascii="Times New Roman" w:hAnsi="Times New Roman"/>
                <w:sz w:val="24"/>
              </w:rPr>
              <w:t xml:space="preserve">the </w:t>
            </w:r>
            <w:r>
              <w:rPr>
                <w:rFonts w:ascii="Times New Roman" w:hAnsi="Times New Roman" w:hint="eastAsia"/>
                <w:sz w:val="24"/>
              </w:rPr>
              <w:t xml:space="preserve">participant should </w:t>
            </w:r>
            <w:r>
              <w:rPr>
                <w:rFonts w:ascii="Times New Roman" w:hAnsi="Times New Roman"/>
                <w:sz w:val="24"/>
              </w:rPr>
              <w:t xml:space="preserve">adapt to the opposite stimulus-reward </w:t>
            </w:r>
            <w:r>
              <w:rPr>
                <w:rFonts w:ascii="Times New Roman" w:hAnsi="Times New Roman" w:hint="eastAsia"/>
                <w:sz w:val="24"/>
              </w:rPr>
              <w:t>mapp</w:t>
            </w:r>
            <w:r>
              <w:rPr>
                <w:rFonts w:ascii="Times New Roman" w:hAnsi="Times New Roman"/>
                <w:sz w:val="24"/>
              </w:rPr>
              <w:t xml:space="preserve">ing. </w:t>
            </w:r>
            <w:r>
              <w:rPr>
                <w:rFonts w:ascii="Times New Roman" w:hAnsi="Times New Roman" w:hint="eastAsia"/>
                <w:sz w:val="24"/>
              </w:rPr>
              <w:t>T</w:t>
            </w:r>
            <w:r>
              <w:rPr>
                <w:rFonts w:ascii="Times New Roman" w:hAnsi="Times New Roman"/>
                <w:sz w:val="24"/>
              </w:rPr>
              <w:t>herefore</w:t>
            </w:r>
            <w:r>
              <w:rPr>
                <w:rFonts w:ascii="Times New Roman" w:hAnsi="Times New Roman" w:hint="eastAsia"/>
                <w:sz w:val="24"/>
              </w:rPr>
              <w:t>,</w:t>
            </w:r>
            <w:r>
              <w:rPr>
                <w:rFonts w:ascii="Times New Roman" w:hAnsi="Times New Roman"/>
                <w:sz w:val="24"/>
              </w:rPr>
              <w:t xml:space="preserve"> </w:t>
            </w:r>
            <w:r>
              <w:rPr>
                <w:rFonts w:ascii="Times New Roman" w:hAnsi="Times New Roman" w:hint="eastAsia"/>
                <w:sz w:val="24"/>
              </w:rPr>
              <w:t>p</w:t>
            </w:r>
            <w:r>
              <w:rPr>
                <w:rFonts w:ascii="Times New Roman" w:hAnsi="Times New Roman"/>
                <w:sz w:val="24"/>
              </w:rPr>
              <w:t>ar</w:t>
            </w:r>
            <w:r>
              <w:rPr>
                <w:rFonts w:ascii="Times New Roman" w:hAnsi="Times New Roman"/>
                <w:sz w:val="24"/>
              </w:rPr>
              <w:t>ticipants should adjust their behavior according to the change</w:t>
            </w:r>
            <w:r>
              <w:rPr>
                <w:rFonts w:ascii="Times New Roman" w:hAnsi="Times New Roman" w:hint="eastAsia"/>
                <w:sz w:val="24"/>
              </w:rPr>
              <w:t xml:space="preserve"> in the </w:t>
            </w:r>
            <w:r>
              <w:rPr>
                <w:rFonts w:ascii="Times New Roman" w:hAnsi="Times New Roman"/>
                <w:sz w:val="24"/>
              </w:rPr>
              <w:t>stimulus-reward</w:t>
            </w:r>
            <w:r>
              <w:rPr>
                <w:rFonts w:ascii="Times New Roman" w:hAnsi="Times New Roman" w:hint="eastAsia"/>
                <w:sz w:val="24"/>
              </w:rPr>
              <w:t xml:space="preserve"> rule</w:t>
            </w:r>
            <w:r>
              <w:rPr>
                <w:rFonts w:ascii="Times New Roman" w:hAnsi="Times New Roman"/>
                <w:sz w:val="24"/>
              </w:rPr>
              <w:t>. Persevering with a response that was once rewarded, but is later associated with negative consequences, may reflect a lack of flexibility in learning and can thus l</w:t>
            </w:r>
            <w:r>
              <w:rPr>
                <w:rFonts w:ascii="Times New Roman" w:hAnsi="Times New Roman"/>
                <w:sz w:val="24"/>
              </w:rPr>
              <w:t>ead to compulsive behavior</w:t>
            </w:r>
            <w:r>
              <w:rPr>
                <w:rFonts w:ascii="Times New Roman" w:hAnsi="Times New Roman" w:hint="eastAsia"/>
                <w:sz w:val="24"/>
              </w:rPr>
              <w:t xml:space="preserve"> </w:t>
            </w:r>
            <w:r>
              <w:rPr>
                <w:rFonts w:ascii="Times New Roman" w:hAnsi="Times New Roman"/>
                <w:sz w:val="24"/>
              </w:rPr>
              <w:t>(adapted from Figure 1 in the study by</w:t>
            </w:r>
            <w:r>
              <w:rPr>
                <w:rFonts w:ascii="Times New Roman" w:hAnsi="Times New Roman" w:hint="eastAsia"/>
                <w:sz w:val="24"/>
              </w:rPr>
              <w:t xml:space="preserve"> den Ouden </w:t>
            </w:r>
            <w:r>
              <w:rPr>
                <w:rFonts w:ascii="Times New Roman" w:hAnsi="Times New Roman"/>
                <w:sz w:val="24"/>
              </w:rPr>
              <w:t>and colleagues</w:t>
            </w:r>
            <w:r>
              <w:rPr>
                <w:rFonts w:ascii="Times New Roman" w:hAnsi="Times New Roman"/>
                <w:sz w:val="24"/>
              </w:rPr>
              <w:fldChar w:fldCharType="begin" w:fldLock="1"/>
            </w:r>
            <w:r>
              <w:rPr>
                <w:rFonts w:ascii="Times New Roman" w:hAnsi="Times New Roman"/>
                <w:sz w:val="24"/>
              </w:rPr>
              <w:instrText>ADDIN CSL_CITATION {"citationItems":[{"id":"ITEM-1","itemData":{"DOI":"10.1016/j.neuron.2013.08.030","ISSN":"1097-4199 (Electronic)","PMID":"24267657","abstract":"Ser</w:instrText>
            </w:r>
            <w:r>
              <w:rPr>
                <w:rFonts w:ascii="Times New Roman" w:hAnsi="Times New Roman"/>
                <w:sz w:val="24"/>
              </w:rPr>
              <w:instrText>otonin and dopamine are speculated to subserve motivationally opponent  functions, but this hypothesis has not been directly tested. We studied the role of these neurotransmitters in probabilistic reversal learning in nearly 700 individuals as a function o</w:instrText>
            </w:r>
            <w:r>
              <w:rPr>
                <w:rFonts w:ascii="Times New Roman" w:hAnsi="Times New Roman"/>
                <w:sz w:val="24"/>
              </w:rPr>
              <w:instrText>f two polymorphisms in the genes encoding the serotonin and dopamine transporters (SERT: 5HTTLPR plus rs25531; DAT1 3'UTR VNTR). A double dissociation was observed. The SERT polymorphism altered behavioral adaptation after losses, with increased lose-shift</w:instrText>
            </w:r>
            <w:r>
              <w:rPr>
                <w:rFonts w:ascii="Times New Roman" w:hAnsi="Times New Roman"/>
                <w:sz w:val="24"/>
              </w:rPr>
              <w:instrText xml:space="preserve"> associated with L' homozygosity, while leaving unaffected perseveration after reversal. In contrast, the DAT1 genotype affected the influence of prior choices on perseveration, while leaving lose-shifting unaltered. A model of reinforcement learning captu</w:instrText>
            </w:r>
            <w:r>
              <w:rPr>
                <w:rFonts w:ascii="Times New Roman" w:hAnsi="Times New Roman"/>
                <w:sz w:val="24"/>
              </w:rPr>
              <w:instrText>red the dose-dependent effect of DAT1 genotype, such that an increasing number of 9R-alleles resulted in a stronger reliance on previous experience and therefore reluctance to update learned associations. These data provide direct evidence for doubly disso</w:instrText>
            </w:r>
            <w:r>
              <w:rPr>
                <w:rFonts w:ascii="Times New Roman" w:hAnsi="Times New Roman"/>
                <w:sz w:val="24"/>
              </w:rPr>
              <w:instrText>ciable effects of serotonin and dopamine systems.","author":[{"dropping-particle":"","family":"Ouden","given":"Hanneke E M","non-dropping-particle":"den","parse-names":false,"suffix":""},{"dropping-particle":"","family":"Daw","given":"Nathaniel D","non-dro</w:instrText>
            </w:r>
            <w:r>
              <w:rPr>
                <w:rFonts w:ascii="Times New Roman" w:hAnsi="Times New Roman"/>
                <w:sz w:val="24"/>
              </w:rPr>
              <w:instrText>pping-particle":"","parse-names":false,"suffix":""},{"dropping-particle":"","family":"Fernandez","given":"Guillén","non-dropping-particle":"","parse-names":false,"suffix":""},{"dropping-particle":"","family":"Elshout","given":"Joris A","non-dropping-partic</w:instrText>
            </w:r>
            <w:r>
              <w:rPr>
                <w:rFonts w:ascii="Times New Roman" w:hAnsi="Times New Roman"/>
                <w:sz w:val="24"/>
              </w:rPr>
              <w:instrText>le":"","parse-names":false,"suffix":""},{"dropping-particle":"","family":"Rijpkema","given":"Mark","non-dropping-particle":"","parse-names":false,"suffix":""},{"dropping-particle":"","family":"Hoogman","given":"Martine","non-dropping-particle":"","parse-na</w:instrText>
            </w:r>
            <w:r>
              <w:rPr>
                <w:rFonts w:ascii="Times New Roman" w:hAnsi="Times New Roman"/>
                <w:sz w:val="24"/>
              </w:rPr>
              <w:instrText>mes":false,"suffix":""},{"dropping-particle":"","family":"Franke","given":"Barbara","non-dropping-particle":"","parse-names":false,"suffix":""},{"dropping-particle":"","family":"Cools","given":"Roshan","non-dropping-particle":"","parse-names":false,"suffix</w:instrText>
            </w:r>
            <w:r>
              <w:rPr>
                <w:rFonts w:ascii="Times New Roman" w:hAnsi="Times New Roman"/>
                <w:sz w:val="24"/>
              </w:rPr>
              <w:instrText>":""}],"container-title":"Neuron","id":"ITEM-1","issue":"4","issued":{"date-parts":[["2013","11"]]},"language":"eng","page":"1090-1100","publisher-place":"United States","title":"Dissociable effects of dopamine and serotonin on reversal learning.","type":"</w:instrText>
            </w:r>
            <w:r>
              <w:rPr>
                <w:rFonts w:ascii="Times New Roman" w:hAnsi="Times New Roman"/>
                <w:sz w:val="24"/>
              </w:rPr>
              <w:instrText>article-journal","volume":"80"},"uris":["http://www.mendeley.com/documents/?uuid=7e3273a0-f088-42f6-990d-a2ae1b8347bf"]}],"mendeley":{"formattedCitation":"&lt;sup&gt;1&lt;/sup&gt;","plainTextFormattedCitation":"1","previouslyFormattedCitation":"&lt;sup&gt;1&lt;/sup&gt;"},"propert</w:instrText>
            </w:r>
            <w:r>
              <w:rPr>
                <w:rFonts w:ascii="Times New Roman" w:hAnsi="Times New Roman"/>
                <w:sz w:val="24"/>
              </w:rPr>
              <w:instrText>ies":{"noteIndex":0},"schema":"https://github.com/citation-style-language/schema/raw/master/csl-citation.json"}</w:instrText>
            </w:r>
            <w:r>
              <w:rPr>
                <w:rFonts w:ascii="Times New Roman" w:hAnsi="Times New Roman"/>
                <w:sz w:val="24"/>
              </w:rPr>
              <w:fldChar w:fldCharType="separate"/>
            </w:r>
            <w:r>
              <w:rPr>
                <w:rFonts w:ascii="Times New Roman" w:hAnsi="Times New Roman"/>
                <w:sz w:val="24"/>
                <w:vertAlign w:val="superscript"/>
              </w:rPr>
              <w:t>1</w:t>
            </w:r>
            <w:r>
              <w:rPr>
                <w:rFonts w:ascii="Times New Roman" w:hAnsi="Times New Roman"/>
                <w:sz w:val="24"/>
              </w:rPr>
              <w:fldChar w:fldCharType="end"/>
            </w:r>
            <w:r>
              <w:rPr>
                <w:rFonts w:ascii="Times New Roman" w:hAnsi="Times New Roman"/>
                <w:sz w:val="24"/>
              </w:rPr>
              <w:t>).</w:t>
            </w:r>
          </w:p>
          <w:p w14:paraId="70B6EC3E" w14:textId="77777777" w:rsidR="004F64F1" w:rsidRDefault="004F64F1">
            <w:pPr>
              <w:rPr>
                <w:rFonts w:ascii="Times New Roman" w:hAnsi="Times New Roman"/>
                <w:sz w:val="24"/>
              </w:rPr>
            </w:pPr>
          </w:p>
        </w:tc>
        <w:tc>
          <w:tcPr>
            <w:tcW w:w="5447" w:type="dxa"/>
            <w:tcBorders>
              <w:bottom w:val="single" w:sz="4" w:space="0" w:color="auto"/>
            </w:tcBorders>
          </w:tcPr>
          <w:p w14:paraId="34920D05" w14:textId="77777777" w:rsidR="004F64F1" w:rsidRDefault="009D3646">
            <w:pPr>
              <w:jc w:val="center"/>
              <w:rPr>
                <w:rFonts w:ascii="Times New Roman" w:hAnsi="Times New Roman"/>
                <w:sz w:val="22"/>
                <w:szCs w:val="28"/>
              </w:rPr>
            </w:pPr>
            <w:r>
              <w:rPr>
                <w:noProof/>
              </w:rPr>
              <w:drawing>
                <wp:inline distT="0" distB="0" distL="114300" distR="114300" wp14:anchorId="24C9BDCA" wp14:editId="6A82A96D">
                  <wp:extent cx="3356610" cy="1427480"/>
                  <wp:effectExtent l="0" t="0" r="11430" b="5080"/>
                  <wp:docPr id="1" name="图片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 diagram of a graph&#10;&#10;Description automatically generated with medium confidence"/>
                          <pic:cNvPicPr>
                            <a:picLocks noChangeAspect="1"/>
                          </pic:cNvPicPr>
                        </pic:nvPicPr>
                        <pic:blipFill>
                          <a:blip r:embed="rId8"/>
                          <a:stretch>
                            <a:fillRect/>
                          </a:stretch>
                        </pic:blipFill>
                        <pic:spPr>
                          <a:xfrm>
                            <a:off x="0" y="0"/>
                            <a:ext cx="3356610" cy="1427480"/>
                          </a:xfrm>
                          <a:prstGeom prst="rect">
                            <a:avLst/>
                          </a:prstGeom>
                          <a:noFill/>
                          <a:ln>
                            <a:noFill/>
                          </a:ln>
                        </pic:spPr>
                      </pic:pic>
                    </a:graphicData>
                  </a:graphic>
                </wp:inline>
              </w:drawing>
            </w:r>
          </w:p>
        </w:tc>
      </w:tr>
      <w:tr w:rsidR="004F64F1" w14:paraId="20939DC0" w14:textId="77777777">
        <w:trPr>
          <w:trHeight w:val="416"/>
        </w:trPr>
        <w:tc>
          <w:tcPr>
            <w:tcW w:w="8727" w:type="dxa"/>
            <w:tcBorders>
              <w:top w:val="single" w:sz="4" w:space="0" w:color="auto"/>
              <w:bottom w:val="nil"/>
            </w:tcBorders>
          </w:tcPr>
          <w:p w14:paraId="4156C599" w14:textId="77777777" w:rsidR="004F64F1" w:rsidRDefault="009D3646">
            <w:pPr>
              <w:spacing w:beforeLines="50" w:before="156" w:line="360" w:lineRule="auto"/>
              <w:rPr>
                <w:rFonts w:ascii="Times New Roman" w:hAnsi="Times New Roman"/>
                <w:sz w:val="24"/>
              </w:rPr>
            </w:pPr>
            <w:r>
              <w:rPr>
                <w:rFonts w:ascii="Times New Roman" w:hAnsi="Times New Roman" w:hint="eastAsia"/>
                <w:b/>
                <w:bCs/>
                <w:sz w:val="24"/>
              </w:rPr>
              <w:t>S</w:t>
            </w:r>
            <w:r>
              <w:rPr>
                <w:rFonts w:ascii="Times New Roman" w:hAnsi="Times New Roman"/>
                <w:b/>
                <w:bCs/>
                <w:sz w:val="24"/>
              </w:rPr>
              <w:t>et-shifting</w:t>
            </w:r>
          </w:p>
        </w:tc>
        <w:tc>
          <w:tcPr>
            <w:tcW w:w="5447" w:type="dxa"/>
            <w:tcBorders>
              <w:top w:val="single" w:sz="4" w:space="0" w:color="auto"/>
              <w:bottom w:val="nil"/>
            </w:tcBorders>
          </w:tcPr>
          <w:p w14:paraId="38E76828" w14:textId="77777777" w:rsidR="004F64F1" w:rsidRDefault="004F64F1">
            <w:pPr>
              <w:rPr>
                <w:rFonts w:ascii="Times New Roman" w:hAnsi="Times New Roman"/>
                <w:sz w:val="22"/>
                <w:szCs w:val="28"/>
              </w:rPr>
            </w:pPr>
          </w:p>
        </w:tc>
      </w:tr>
      <w:tr w:rsidR="004F64F1" w14:paraId="29640B3B" w14:textId="77777777">
        <w:tc>
          <w:tcPr>
            <w:tcW w:w="8727" w:type="dxa"/>
            <w:tcBorders>
              <w:top w:val="nil"/>
              <w:bottom w:val="single" w:sz="4" w:space="0" w:color="auto"/>
            </w:tcBorders>
          </w:tcPr>
          <w:p w14:paraId="5A1792B5" w14:textId="77777777" w:rsidR="004F64F1" w:rsidRDefault="009D3646">
            <w:pPr>
              <w:numPr>
                <w:ilvl w:val="0"/>
                <w:numId w:val="1"/>
              </w:numPr>
              <w:spacing w:line="288" w:lineRule="auto"/>
              <w:rPr>
                <w:rFonts w:ascii="Times New Roman" w:eastAsia="SimSun" w:hAnsi="Times New Roman"/>
                <w:sz w:val="24"/>
              </w:rPr>
            </w:pPr>
            <w:r>
              <w:rPr>
                <w:rFonts w:ascii="Times New Roman" w:hAnsi="Times New Roman" w:hint="eastAsia"/>
                <w:sz w:val="24"/>
              </w:rPr>
              <w:t>T</w:t>
            </w:r>
            <w:r>
              <w:rPr>
                <w:rFonts w:ascii="Times New Roman" w:eastAsia="SimSun" w:hAnsi="Times New Roman"/>
                <w:sz w:val="24"/>
              </w:rPr>
              <w:t>he</w:t>
            </w:r>
            <w:r>
              <w:rPr>
                <w:rFonts w:ascii="Times New Roman" w:hAnsi="Times New Roman" w:hint="eastAsia"/>
                <w:sz w:val="24"/>
              </w:rPr>
              <w:t xml:space="preserve"> Wisconsin card sorting task (</w:t>
            </w:r>
            <w:r>
              <w:rPr>
                <w:rFonts w:ascii="Times New Roman" w:eastAsia="SimSun" w:hAnsi="Times New Roman"/>
                <w:sz w:val="24"/>
              </w:rPr>
              <w:t>WCST</w:t>
            </w:r>
            <w:r>
              <w:rPr>
                <w:rFonts w:ascii="Times New Roman" w:hAnsi="Times New Roman" w:hint="eastAsia"/>
                <w:sz w:val="24"/>
              </w:rPr>
              <w:t>)</w:t>
            </w:r>
            <w:r>
              <w:rPr>
                <w:rFonts w:ascii="Times New Roman" w:eastAsia="SimSun" w:hAnsi="Times New Roman"/>
                <w:sz w:val="24"/>
              </w:rPr>
              <w:t xml:space="preserve"> consists of key cards and response cards with geometric figures that vary according to three perceptual dimensions</w:t>
            </w:r>
            <w:r>
              <w:rPr>
                <w:rFonts w:ascii="Times New Roman" w:hAnsi="Times New Roman" w:hint="eastAsia"/>
                <w:sz w:val="24"/>
              </w:rPr>
              <w:t xml:space="preserve"> </w:t>
            </w:r>
            <w:r>
              <w:rPr>
                <w:rFonts w:ascii="Times New Roman" w:eastAsia="SimSun" w:hAnsi="Times New Roman"/>
                <w:sz w:val="24"/>
              </w:rPr>
              <w:t xml:space="preserve">(color, form, or number). The task requires </w:t>
            </w:r>
            <w:r>
              <w:rPr>
                <w:rFonts w:ascii="Times New Roman" w:eastAsia="SimSun" w:hAnsi="Times New Roman" w:hint="eastAsia"/>
                <w:sz w:val="24"/>
              </w:rPr>
              <w:t>participants</w:t>
            </w:r>
            <w:r>
              <w:rPr>
                <w:rFonts w:ascii="Times New Roman" w:eastAsia="SimSun" w:hAnsi="Times New Roman"/>
                <w:sz w:val="24"/>
              </w:rPr>
              <w:t xml:space="preserve"> to find the correct classification </w:t>
            </w:r>
            <w:r>
              <w:rPr>
                <w:rFonts w:ascii="Times New Roman" w:eastAsia="SimSun" w:hAnsi="Times New Roman" w:hint="eastAsia"/>
                <w:sz w:val="24"/>
              </w:rPr>
              <w:t xml:space="preserve">rule </w:t>
            </w:r>
            <w:r>
              <w:rPr>
                <w:rFonts w:ascii="Times New Roman" w:eastAsia="SimSun" w:hAnsi="Times New Roman"/>
                <w:sz w:val="24"/>
              </w:rPr>
              <w:t>by trial and error and examiner feedback. O</w:t>
            </w:r>
            <w:r>
              <w:rPr>
                <w:rFonts w:ascii="Times New Roman" w:eastAsia="SimSun" w:hAnsi="Times New Roman"/>
                <w:sz w:val="24"/>
              </w:rPr>
              <w:t xml:space="preserve">nce the </w:t>
            </w:r>
            <w:r>
              <w:rPr>
                <w:rFonts w:ascii="Times New Roman" w:eastAsia="SimSun" w:hAnsi="Times New Roman" w:hint="eastAsia"/>
                <w:sz w:val="24"/>
              </w:rPr>
              <w:t>participant respon</w:t>
            </w:r>
            <w:r>
              <w:rPr>
                <w:rFonts w:ascii="Times New Roman" w:eastAsia="SimSun" w:hAnsi="Times New Roman"/>
                <w:sz w:val="24"/>
              </w:rPr>
              <w:t>d</w:t>
            </w:r>
            <w:r>
              <w:rPr>
                <w:rFonts w:ascii="Times New Roman" w:eastAsia="SimSun" w:hAnsi="Times New Roman" w:hint="eastAsia"/>
                <w:sz w:val="24"/>
              </w:rPr>
              <w:t>s according to</w:t>
            </w:r>
            <w:r>
              <w:rPr>
                <w:rFonts w:ascii="Times New Roman" w:eastAsia="SimSun" w:hAnsi="Times New Roman"/>
                <w:sz w:val="24"/>
              </w:rPr>
              <w:t xml:space="preserve"> the correct rule</w:t>
            </w:r>
            <w:r>
              <w:rPr>
                <w:rFonts w:ascii="Times New Roman" w:eastAsia="SimSun" w:hAnsi="Times New Roman" w:hint="eastAsia"/>
                <w:sz w:val="24"/>
              </w:rPr>
              <w:t>,</w:t>
            </w:r>
            <w:r>
              <w:rPr>
                <w:rFonts w:ascii="Times New Roman" w:eastAsia="SimSun" w:hAnsi="Times New Roman"/>
                <w:sz w:val="24"/>
              </w:rPr>
              <w:t xml:space="preserve"> </w:t>
            </w:r>
            <w:r>
              <w:rPr>
                <w:rFonts w:ascii="Times New Roman" w:eastAsia="SimSun" w:hAnsi="Times New Roman"/>
                <w:sz w:val="24"/>
              </w:rPr>
              <w:lastRenderedPageBreak/>
              <w:t>they must maintain this sorting principle (set) across changing stimulus</w:t>
            </w:r>
            <w:r>
              <w:rPr>
                <w:rFonts w:ascii="Times New Roman" w:hAnsi="Times New Roman" w:hint="eastAsia"/>
                <w:sz w:val="24"/>
              </w:rPr>
              <w:t xml:space="preserve"> </w:t>
            </w:r>
            <w:r>
              <w:rPr>
                <w:rFonts w:ascii="Times New Roman" w:eastAsia="SimSun" w:hAnsi="Times New Roman"/>
                <w:sz w:val="24"/>
              </w:rPr>
              <w:t>conditions</w:t>
            </w:r>
            <w:r>
              <w:rPr>
                <w:rFonts w:ascii="Times New Roman" w:eastAsia="SimSun" w:hAnsi="Times New Roman" w:hint="eastAsia"/>
                <w:sz w:val="24"/>
              </w:rPr>
              <w:t xml:space="preserve">, </w:t>
            </w:r>
            <w:r>
              <w:rPr>
                <w:rFonts w:ascii="Times New Roman" w:eastAsia="SimSun" w:hAnsi="Times New Roman"/>
                <w:sz w:val="24"/>
              </w:rPr>
              <w:t xml:space="preserve">ignoring the other dimensions. After ten consecutive correct matches, the </w:t>
            </w:r>
            <w:r>
              <w:rPr>
                <w:rFonts w:ascii="Times New Roman" w:eastAsia="SimSun" w:hAnsi="Times New Roman" w:hint="eastAsia"/>
                <w:sz w:val="24"/>
              </w:rPr>
              <w:t>sorting</w:t>
            </w:r>
            <w:r>
              <w:rPr>
                <w:rFonts w:ascii="Times New Roman" w:eastAsia="SimSun" w:hAnsi="Times New Roman"/>
                <w:sz w:val="24"/>
              </w:rPr>
              <w:t xml:space="preserve"> </w:t>
            </w:r>
            <w:r>
              <w:rPr>
                <w:rFonts w:ascii="Times New Roman" w:eastAsia="SimSun" w:hAnsi="Times New Roman" w:hint="eastAsia"/>
                <w:sz w:val="24"/>
              </w:rPr>
              <w:t xml:space="preserve">rule </w:t>
            </w:r>
            <w:r>
              <w:rPr>
                <w:rFonts w:ascii="Times New Roman" w:eastAsia="SimSun" w:hAnsi="Times New Roman"/>
                <w:sz w:val="24"/>
              </w:rPr>
              <w:t>changes without warning,</w:t>
            </w:r>
            <w:r>
              <w:rPr>
                <w:rFonts w:ascii="Times New Roman" w:eastAsia="SimSun" w:hAnsi="Times New Roman"/>
                <w:sz w:val="24"/>
              </w:rPr>
              <w:t xml:space="preserve"> </w:t>
            </w:r>
            <w:r>
              <w:rPr>
                <w:rFonts w:ascii="Times New Roman" w:eastAsia="SimSun" w:hAnsi="Times New Roman" w:hint="eastAsia"/>
                <w:sz w:val="24"/>
              </w:rPr>
              <w:t>requir</w:t>
            </w:r>
            <w:r>
              <w:rPr>
                <w:rFonts w:ascii="Times New Roman" w:eastAsia="SimSun" w:hAnsi="Times New Roman"/>
                <w:sz w:val="24"/>
              </w:rPr>
              <w:t xml:space="preserve">ing a flexible shift </w:t>
            </w:r>
            <w:r>
              <w:rPr>
                <w:rFonts w:ascii="Times New Roman" w:eastAsia="SimSun" w:hAnsi="Times New Roman" w:hint="eastAsia"/>
                <w:sz w:val="24"/>
              </w:rPr>
              <w:t>of the</w:t>
            </w:r>
            <w:r>
              <w:rPr>
                <w:rFonts w:ascii="Times New Roman" w:eastAsia="SimSun" w:hAnsi="Times New Roman"/>
                <w:sz w:val="24"/>
              </w:rPr>
              <w:t xml:space="preserve"> set. The WCST is not timed, and sorting continues until all cards are sorted or a maximum of six correct sorting criteria have been reached. </w:t>
            </w:r>
            <w:r>
              <w:rPr>
                <w:rFonts w:ascii="Times New Roman" w:eastAsia="SimSun" w:hAnsi="Times New Roman" w:hint="eastAsia"/>
                <w:sz w:val="24"/>
              </w:rPr>
              <w:t>S</w:t>
            </w:r>
            <w:r>
              <w:rPr>
                <w:rFonts w:ascii="Times New Roman" w:eastAsia="SimSun" w:hAnsi="Times New Roman"/>
                <w:sz w:val="24"/>
              </w:rPr>
              <w:t xml:space="preserve">cores </w:t>
            </w:r>
            <w:r>
              <w:rPr>
                <w:rFonts w:ascii="Times New Roman" w:hAnsi="Times New Roman" w:hint="eastAsia"/>
                <w:sz w:val="24"/>
              </w:rPr>
              <w:t>commonly used</w:t>
            </w:r>
            <w:r>
              <w:rPr>
                <w:rFonts w:ascii="Times New Roman" w:eastAsia="SimSun" w:hAnsi="Times New Roman"/>
                <w:sz w:val="24"/>
              </w:rPr>
              <w:t xml:space="preserve"> as</w:t>
            </w:r>
            <w:r>
              <w:rPr>
                <w:rFonts w:ascii="Times New Roman" w:eastAsia="SimSun" w:hAnsi="Times New Roman" w:hint="eastAsia"/>
                <w:sz w:val="24"/>
              </w:rPr>
              <w:t xml:space="preserve"> </w:t>
            </w:r>
            <w:r>
              <w:rPr>
                <w:rFonts w:ascii="Times New Roman" w:eastAsia="SimSun" w:hAnsi="Times New Roman"/>
                <w:sz w:val="24"/>
              </w:rPr>
              <w:t>indices</w:t>
            </w:r>
            <w:r>
              <w:rPr>
                <w:rFonts w:ascii="Times New Roman" w:eastAsia="SimSun" w:hAnsi="Times New Roman" w:hint="eastAsia"/>
                <w:sz w:val="24"/>
              </w:rPr>
              <w:t xml:space="preserve"> </w:t>
            </w:r>
            <w:r>
              <w:rPr>
                <w:rFonts w:ascii="Times New Roman" w:eastAsia="SimSun" w:hAnsi="Times New Roman"/>
                <w:sz w:val="24"/>
              </w:rPr>
              <w:t>of performance</w:t>
            </w:r>
            <w:r>
              <w:rPr>
                <w:rFonts w:ascii="Times New Roman" w:hAnsi="Times New Roman" w:hint="eastAsia"/>
                <w:sz w:val="24"/>
              </w:rPr>
              <w:t xml:space="preserve"> </w:t>
            </w:r>
            <w:r>
              <w:rPr>
                <w:rFonts w:ascii="Times New Roman" w:eastAsia="SimSun" w:hAnsi="Times New Roman"/>
                <w:sz w:val="24"/>
              </w:rPr>
              <w:t>includ</w:t>
            </w:r>
            <w:r>
              <w:rPr>
                <w:rFonts w:ascii="Times New Roman" w:hAnsi="Times New Roman" w:hint="eastAsia"/>
                <w:sz w:val="24"/>
              </w:rPr>
              <w:t>e</w:t>
            </w:r>
            <w:r>
              <w:rPr>
                <w:rFonts w:ascii="Times New Roman" w:eastAsia="SimSun" w:hAnsi="Times New Roman"/>
                <w:sz w:val="24"/>
              </w:rPr>
              <w:t xml:space="preserve"> numbers of categories com</w:t>
            </w:r>
            <w:r>
              <w:rPr>
                <w:rFonts w:ascii="Times New Roman" w:eastAsia="SimSun" w:hAnsi="Times New Roman"/>
                <w:sz w:val="24"/>
              </w:rPr>
              <w:t>pleted, perseverative errors, and non</w:t>
            </w:r>
            <w:r>
              <w:rPr>
                <w:rFonts w:ascii="Times New Roman" w:hAnsi="Times New Roman" w:hint="eastAsia"/>
                <w:sz w:val="24"/>
              </w:rPr>
              <w:t>-</w:t>
            </w:r>
            <w:r>
              <w:rPr>
                <w:rFonts w:ascii="Times New Roman" w:eastAsia="SimSun" w:hAnsi="Times New Roman"/>
                <w:sz w:val="24"/>
              </w:rPr>
              <w:t>perseverative errors</w:t>
            </w:r>
            <w:r>
              <w:rPr>
                <w:rFonts w:ascii="Times New Roman" w:hAnsi="Times New Roman" w:hint="eastAsia"/>
                <w:sz w:val="24"/>
              </w:rPr>
              <w:t>. The left schematic figure is an analog of WCST, the Madrid Card Sorting Test (</w:t>
            </w:r>
            <w:r>
              <w:rPr>
                <w:rFonts w:ascii="Times New Roman" w:hAnsi="Times New Roman"/>
                <w:sz w:val="24"/>
              </w:rPr>
              <w:t xml:space="preserve">adapted from Figure 1 in the study by </w:t>
            </w:r>
            <w:r>
              <w:rPr>
                <w:rFonts w:ascii="Times New Roman" w:hAnsi="Times New Roman" w:hint="eastAsia"/>
                <w:sz w:val="24"/>
              </w:rPr>
              <w:t>Nyhus and Barcel</w:t>
            </w:r>
            <w:r>
              <w:rPr>
                <w:rFonts w:ascii="Times New Roman" w:hAnsi="Times New Roman" w:hint="eastAsia"/>
                <w:sz w:val="24"/>
              </w:rPr>
              <w:t>ó</w:t>
            </w:r>
            <w:r>
              <w:rPr>
                <w:rFonts w:ascii="Times New Roman" w:hAnsi="Times New Roman"/>
                <w:sz w:val="24"/>
              </w:rPr>
              <w:fldChar w:fldCharType="begin" w:fldLock="1"/>
            </w:r>
            <w:r>
              <w:rPr>
                <w:rFonts w:ascii="Times New Roman" w:hAnsi="Times New Roman"/>
                <w:sz w:val="24"/>
              </w:rPr>
              <w:instrText>ADDIN CSL_CITATION {"citationItems":[{"id":"ITEM-1","itemData":</w:instrText>
            </w:r>
            <w:r>
              <w:rPr>
                <w:rFonts w:ascii="Times New Roman" w:hAnsi="Times New Roman"/>
                <w:sz w:val="24"/>
              </w:rPr>
              <w:instrText>{"DOI":"10.1016/j.bandc.2009.03.005","ISSN":"1090-2147 (Electronic)","PMID":"19375839","abstract":"For over four decades the Wisconsin Card Sorting Test (WCST) has been one of the  most distinctive tests of prefrontal function. Clinical research and recent</w:instrText>
            </w:r>
            <w:r>
              <w:rPr>
                <w:rFonts w:ascii="Times New Roman" w:hAnsi="Times New Roman"/>
                <w:sz w:val="24"/>
              </w:rPr>
              <w:instrText xml:space="preserve"> brain imaging have brought into question the validity and specificity of this test as a marker of frontal dysfunction. Clinical studies with neurological patients have confirmed that, in its traditional form, the WCST fails to discriminate between frontal</w:instrText>
            </w:r>
            <w:r>
              <w:rPr>
                <w:rFonts w:ascii="Times New Roman" w:hAnsi="Times New Roman"/>
                <w:sz w:val="24"/>
              </w:rPr>
              <w:instrText xml:space="preserve"> and non-frontal lesions. In addition, functional brain imaging studies show rapid and widespread activation across frontal and non-frontal brain regions during WCST performance. These studies suggest that the concept of an anatomically pure test of prefro</w:instrText>
            </w:r>
            <w:r>
              <w:rPr>
                <w:rFonts w:ascii="Times New Roman" w:hAnsi="Times New Roman"/>
                <w:sz w:val="24"/>
              </w:rPr>
              <w:instrText>ntal function is not only empirically unattainable, but also theoretically inaccurate. The aim of the present review is to examine the causes of these criticisms and to resolve them by incorporating new methodological and conceptual advances in order to im</w:instrText>
            </w:r>
            <w:r>
              <w:rPr>
                <w:rFonts w:ascii="Times New Roman" w:hAnsi="Times New Roman"/>
                <w:sz w:val="24"/>
              </w:rPr>
              <w:instrText>prove the construct validity of WCST scores and their relationship to prefrontal executive functions. We conclude that these objectives can be achieved by drawing on theory-guided experimental design, and on precise spatial and temporal sampling of brain a</w:instrText>
            </w:r>
            <w:r>
              <w:rPr>
                <w:rFonts w:ascii="Times New Roman" w:hAnsi="Times New Roman"/>
                <w:sz w:val="24"/>
              </w:rPr>
              <w:instrText>ctivity, and then exemplify this using an integrative model of prefrontal function [i.e., Miller, E. K. (2000). The prefrontal cortex and cognitive control. Nature Reviews Neuroscience, 1, 59-65.] combined with the formal information theoretical approach t</w:instrText>
            </w:r>
            <w:r>
              <w:rPr>
                <w:rFonts w:ascii="Times New Roman" w:hAnsi="Times New Roman"/>
                <w:sz w:val="24"/>
              </w:rPr>
              <w:instrText>o cognitive control [Koechlin, E., &amp; Summerfield, C. (2007). An information theoretical approach to prefrontal executive function. Trends in Cognitive Sciences, 11, 229-235.].","author":[{"dropping-particle":"","family":"Nyhus","given":"Erika","non-droppin</w:instrText>
            </w:r>
            <w:r>
              <w:rPr>
                <w:rFonts w:ascii="Times New Roman" w:hAnsi="Times New Roman"/>
                <w:sz w:val="24"/>
              </w:rPr>
              <w:instrText>g-particle":"","parse-names":false,"suffix":""},{"dropping-particle":"","family":"Barceló","given":"Francisco","non-dropping-particle":"","parse-names":false,"suffix":""}],"container-title":"Brain and cognition","id":"ITEM-1","issue":"3","issued":{"date-pa</w:instrText>
            </w:r>
            <w:r>
              <w:rPr>
                <w:rFonts w:ascii="Times New Roman" w:hAnsi="Times New Roman"/>
                <w:sz w:val="24"/>
              </w:rPr>
              <w:instrText>rts":[["2009","12"]]},"language":"eng","page":"437-451","publisher-place":"United States","title":"The Wisconsin Card Sorting Test and the cognitive assessment of prefrontal  executive functions: a critical update.","type":"article-journal","volume":"71"},</w:instrText>
            </w:r>
            <w:r>
              <w:rPr>
                <w:rFonts w:ascii="Times New Roman" w:hAnsi="Times New Roman"/>
                <w:sz w:val="24"/>
              </w:rPr>
              <w:instrText>"uris":["http://www.mendeley.com/documents/?uuid=d87ec113-c684-41d4-ad96-4b5d68b9b8af"]}],"mendeley":{"formattedCitation":"&lt;sup&gt;2&lt;/sup&gt;","plainTextFormattedCitation":"2","previouslyFormattedCitation":"&lt;sup&gt;2&lt;/sup&gt;"},"properties":{"noteIndex":0},"schema":"h</w:instrText>
            </w:r>
            <w:r>
              <w:rPr>
                <w:rFonts w:ascii="Times New Roman" w:hAnsi="Times New Roman"/>
                <w:sz w:val="24"/>
              </w:rPr>
              <w:instrText>ttps://github.com/citation-style-language/schema/raw/master/csl-citation.json"}</w:instrText>
            </w:r>
            <w:r>
              <w:rPr>
                <w:rFonts w:ascii="Times New Roman" w:hAnsi="Times New Roman"/>
                <w:sz w:val="24"/>
              </w:rPr>
              <w:fldChar w:fldCharType="separate"/>
            </w:r>
            <w:r>
              <w:rPr>
                <w:rFonts w:ascii="Times New Roman" w:hAnsi="Times New Roman"/>
                <w:sz w:val="24"/>
                <w:vertAlign w:val="superscript"/>
              </w:rPr>
              <w:t>2</w:t>
            </w:r>
            <w:r>
              <w:rPr>
                <w:rFonts w:ascii="Times New Roman" w:hAnsi="Times New Roman"/>
                <w:sz w:val="24"/>
              </w:rPr>
              <w:fldChar w:fldCharType="end"/>
            </w:r>
            <w:r>
              <w:rPr>
                <w:rFonts w:ascii="Times New Roman" w:hAnsi="Times New Roman" w:hint="eastAsia"/>
                <w:sz w:val="24"/>
              </w:rPr>
              <w:t>).</w:t>
            </w:r>
          </w:p>
          <w:p w14:paraId="5564204A" w14:textId="77777777" w:rsidR="004F64F1" w:rsidRDefault="004F64F1">
            <w:pPr>
              <w:rPr>
                <w:rFonts w:ascii="Times New Roman" w:eastAsia="SimSun" w:hAnsi="Times New Roman"/>
                <w:sz w:val="24"/>
              </w:rPr>
            </w:pPr>
          </w:p>
        </w:tc>
        <w:tc>
          <w:tcPr>
            <w:tcW w:w="5447" w:type="dxa"/>
            <w:tcBorders>
              <w:top w:val="nil"/>
              <w:bottom w:val="single" w:sz="4" w:space="0" w:color="auto"/>
            </w:tcBorders>
          </w:tcPr>
          <w:p w14:paraId="7D379E5B" w14:textId="77777777" w:rsidR="004F64F1" w:rsidRDefault="009D3646">
            <w:r>
              <w:rPr>
                <w:noProof/>
              </w:rPr>
              <w:lastRenderedPageBreak/>
              <mc:AlternateContent>
                <mc:Choice Requires="wps">
                  <w:drawing>
                    <wp:anchor distT="0" distB="0" distL="114300" distR="114300" simplePos="0" relativeHeight="251663360" behindDoc="0" locked="0" layoutInCell="1" allowOverlap="1" wp14:anchorId="31AA9988" wp14:editId="78D0D590">
                      <wp:simplePos x="0" y="0"/>
                      <wp:positionH relativeFrom="column">
                        <wp:posOffset>31750</wp:posOffset>
                      </wp:positionH>
                      <wp:positionV relativeFrom="paragraph">
                        <wp:posOffset>135890</wp:posOffset>
                      </wp:positionV>
                      <wp:extent cx="128905" cy="158750"/>
                      <wp:effectExtent l="4445" t="5080" r="19050" b="19050"/>
                      <wp:wrapNone/>
                      <wp:docPr id="11" name="矩形 11"/>
                      <wp:cNvGraphicFramePr/>
                      <a:graphic xmlns:a="http://schemas.openxmlformats.org/drawingml/2006/main">
                        <a:graphicData uri="http://schemas.microsoft.com/office/word/2010/wordprocessingShape">
                          <wps:wsp>
                            <wps:cNvSpPr/>
                            <wps:spPr>
                              <a:xfrm>
                                <a:off x="0" y="0"/>
                                <a:ext cx="128905" cy="158750"/>
                              </a:xfrm>
                              <a:prstGeom prst="rect">
                                <a:avLst/>
                              </a:prstGeom>
                              <a:solidFill>
                                <a:srgbClr val="FFFFFF"/>
                              </a:solidFill>
                              <a:ln w="9525" cap="flat" cmpd="sng">
                                <a:solidFill>
                                  <a:srgbClr val="FFFFFF"/>
                                </a:solidFill>
                                <a:prstDash val="solid"/>
                                <a:miter/>
                                <a:headEnd type="none" w="med" len="med"/>
                                <a:tailEnd type="none" w="med" len="med"/>
                              </a:ln>
                            </wps:spPr>
                            <wps:bodyPr upright="1"/>
                          </wps:wsp>
                        </a:graphicData>
                      </a:graphic>
                    </wp:anchor>
                  </w:drawing>
                </mc:Choice>
                <mc:Fallback xmlns:wpsCustomData="http://www.wps.cn/officeDocument/2013/wpsCustomData">
                  <w:pict>
                    <v:rect id="_x0000_s1026" o:spid="_x0000_s1026" o:spt="1" style="position:absolute;left:0pt;margin-left:2.5pt;margin-top:10.7pt;height:12.5pt;width:10.15pt;z-index:251663360;mso-width-relative:page;mso-height-relative:page;" fillcolor="#FFFFFF" filled="t" stroked="t" coordsize="21600,21600" o:gfxdata="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kJd+Y1QAAAAYBAAAPAAAAAAAAAAEAIAAAACIAAABkcnMvZG93bnJldi54bWxQSwEC&#10;FAAUAAAACACHTuJAD1apl/cBAAAfBAAADgAAAAAAAAABACAAAAAkAQAAZHJzL2Uyb0RvYy54bWxQ&#10;SwUGAAAAAAYABgBZAQAAjQUAAAAA&#10;">
                      <v:fill on="t" focussize="0,0"/>
                      <v:stroke color="#FFFFFF" joinstyle="miter"/>
                      <v:imagedata o:title=""/>
                      <o:lock v:ext="edit" aspectratio="f"/>
                    </v:rect>
                  </w:pict>
                </mc:Fallback>
              </mc:AlternateContent>
            </w:r>
          </w:p>
          <w:p w14:paraId="59C30357" w14:textId="77777777" w:rsidR="004F64F1" w:rsidRDefault="009D3646">
            <w:pPr>
              <w:jc w:val="center"/>
              <w:rPr>
                <w:rFonts w:ascii="Times New Roman" w:hAnsi="Times New Roman"/>
                <w:sz w:val="22"/>
                <w:szCs w:val="28"/>
              </w:rPr>
            </w:pPr>
            <w:r>
              <w:rPr>
                <w:noProof/>
              </w:rPr>
              <w:lastRenderedPageBreak/>
              <w:drawing>
                <wp:inline distT="0" distB="0" distL="114300" distR="114300" wp14:anchorId="7E9DE95F" wp14:editId="0B0EEFA7">
                  <wp:extent cx="3246755" cy="1212215"/>
                  <wp:effectExtent l="0" t="0" r="14605" b="6985"/>
                  <wp:docPr id="7" name="图片 2" descr="A diagram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A diagram of a game&#10;&#10;Description automatically generated"/>
                          <pic:cNvPicPr>
                            <a:picLocks noChangeAspect="1"/>
                          </pic:cNvPicPr>
                        </pic:nvPicPr>
                        <pic:blipFill>
                          <a:blip r:embed="rId9"/>
                          <a:srcRect b="61458"/>
                          <a:stretch>
                            <a:fillRect/>
                          </a:stretch>
                        </pic:blipFill>
                        <pic:spPr>
                          <a:xfrm>
                            <a:off x="0" y="0"/>
                            <a:ext cx="3246755" cy="1212215"/>
                          </a:xfrm>
                          <a:prstGeom prst="rect">
                            <a:avLst/>
                          </a:prstGeom>
                          <a:noFill/>
                          <a:ln>
                            <a:noFill/>
                          </a:ln>
                        </pic:spPr>
                      </pic:pic>
                    </a:graphicData>
                  </a:graphic>
                </wp:inline>
              </w:drawing>
            </w:r>
          </w:p>
        </w:tc>
      </w:tr>
      <w:tr w:rsidR="004F64F1" w14:paraId="67865D52" w14:textId="77777777">
        <w:tc>
          <w:tcPr>
            <w:tcW w:w="8727" w:type="dxa"/>
            <w:tcBorders>
              <w:top w:val="single" w:sz="4" w:space="0" w:color="auto"/>
            </w:tcBorders>
          </w:tcPr>
          <w:p w14:paraId="7E0F9C1D" w14:textId="77777777" w:rsidR="004F64F1" w:rsidRDefault="009D3646">
            <w:pPr>
              <w:spacing w:beforeLines="50" w:before="156" w:line="360" w:lineRule="auto"/>
              <w:rPr>
                <w:rFonts w:ascii="Times New Roman" w:hAnsi="Times New Roman"/>
                <w:sz w:val="24"/>
              </w:rPr>
            </w:pPr>
            <w:r>
              <w:rPr>
                <w:rFonts w:ascii="Times New Roman" w:hAnsi="Times New Roman" w:hint="eastAsia"/>
                <w:b/>
                <w:bCs/>
                <w:sz w:val="24"/>
              </w:rPr>
              <w:lastRenderedPageBreak/>
              <w:t>A</w:t>
            </w:r>
            <w:r>
              <w:rPr>
                <w:rFonts w:ascii="Times New Roman" w:hAnsi="Times New Roman"/>
                <w:b/>
                <w:bCs/>
                <w:sz w:val="24"/>
              </w:rPr>
              <w:t>ttentional bias</w:t>
            </w:r>
          </w:p>
        </w:tc>
        <w:tc>
          <w:tcPr>
            <w:tcW w:w="5447" w:type="dxa"/>
            <w:tcBorders>
              <w:top w:val="single" w:sz="4" w:space="0" w:color="auto"/>
            </w:tcBorders>
          </w:tcPr>
          <w:p w14:paraId="37E501E4" w14:textId="77777777" w:rsidR="004F64F1" w:rsidRDefault="004F64F1">
            <w:pPr>
              <w:rPr>
                <w:rFonts w:ascii="Times New Roman" w:hAnsi="Times New Roman"/>
                <w:sz w:val="22"/>
                <w:szCs w:val="28"/>
              </w:rPr>
            </w:pPr>
          </w:p>
        </w:tc>
      </w:tr>
      <w:tr w:rsidR="004F64F1" w14:paraId="48C50CE7" w14:textId="77777777">
        <w:tc>
          <w:tcPr>
            <w:tcW w:w="8727" w:type="dxa"/>
            <w:tcBorders>
              <w:bottom w:val="single" w:sz="4" w:space="0" w:color="auto"/>
            </w:tcBorders>
          </w:tcPr>
          <w:p w14:paraId="28B6F64C" w14:textId="77777777" w:rsidR="004F64F1" w:rsidRDefault="009D3646">
            <w:pPr>
              <w:numPr>
                <w:ilvl w:val="0"/>
                <w:numId w:val="1"/>
              </w:numPr>
              <w:spacing w:line="288" w:lineRule="auto"/>
              <w:rPr>
                <w:rFonts w:ascii="Times New Roman" w:eastAsia="SimSun" w:hAnsi="Times New Roman"/>
                <w:sz w:val="24"/>
              </w:rPr>
            </w:pPr>
            <w:r>
              <w:rPr>
                <w:rFonts w:ascii="Times New Roman" w:eastAsia="SimSun" w:hAnsi="Times New Roman" w:hint="eastAsia"/>
                <w:sz w:val="24"/>
              </w:rPr>
              <w:t xml:space="preserve">The dot-probe task measures preferential attention toward disorder-relevant stimuli. In this task, an addiction-related stimulus and a </w:t>
            </w:r>
            <w:r>
              <w:rPr>
                <w:rFonts w:ascii="Times New Roman" w:eastAsia="SimSun" w:hAnsi="Times New Roman" w:hint="eastAsia"/>
                <w:sz w:val="24"/>
              </w:rPr>
              <w:t xml:space="preserve">non-addiction stimulus (e.g., pictures or words) are presented simultaneously on either side of a fixation. The stimuli disappear after a fixed duration and are followed by a probe item (e.g., a dot, an asterisk) presented either on the addictive stimulus </w:t>
            </w:r>
            <w:r>
              <w:rPr>
                <w:rFonts w:ascii="Times New Roman" w:eastAsia="SimSun" w:hAnsi="Times New Roman" w:hint="eastAsia"/>
                <w:sz w:val="24"/>
              </w:rPr>
              <w:t>side (congruent condition) or on the control stimulus side (incongruent condition). Participants are asked to indicate the location of the probe as quickly as possible and reaction time</w:t>
            </w:r>
            <w:r>
              <w:rPr>
                <w:rFonts w:ascii="Times New Roman" w:eastAsia="SimSun" w:hAnsi="Times New Roman"/>
                <w:sz w:val="24"/>
              </w:rPr>
              <w:t>s</w:t>
            </w:r>
            <w:r>
              <w:rPr>
                <w:rFonts w:ascii="Times New Roman" w:eastAsia="SimSun" w:hAnsi="Times New Roman" w:hint="eastAsia"/>
                <w:sz w:val="24"/>
              </w:rPr>
              <w:t xml:space="preserve"> </w:t>
            </w:r>
            <w:r>
              <w:rPr>
                <w:rFonts w:ascii="Times New Roman" w:eastAsia="SimSun" w:hAnsi="Times New Roman"/>
                <w:sz w:val="24"/>
              </w:rPr>
              <w:t>are</w:t>
            </w:r>
            <w:r>
              <w:rPr>
                <w:rFonts w:ascii="Times New Roman" w:eastAsia="SimSun" w:hAnsi="Times New Roman" w:hint="eastAsia"/>
                <w:sz w:val="24"/>
              </w:rPr>
              <w:t xml:space="preserve"> measured. Response latency to the probe is reduced when it appear</w:t>
            </w:r>
            <w:r>
              <w:rPr>
                <w:rFonts w:ascii="Times New Roman" w:eastAsia="SimSun" w:hAnsi="Times New Roman" w:hint="eastAsia"/>
                <w:sz w:val="24"/>
              </w:rPr>
              <w:t xml:space="preserve">s in an attended rather than an unattended location. The relatively faster responses to the congruent condition compared to the incongruent condition are interpreted as an attentional bias </w:t>
            </w:r>
            <w:r>
              <w:rPr>
                <w:rFonts w:ascii="Times New Roman" w:hAnsi="Times New Roman" w:hint="eastAsia"/>
                <w:sz w:val="24"/>
              </w:rPr>
              <w:t>(</w:t>
            </w:r>
            <w:r>
              <w:rPr>
                <w:rFonts w:ascii="Times New Roman" w:hAnsi="Times New Roman"/>
                <w:sz w:val="24"/>
              </w:rPr>
              <w:t xml:space="preserve">adapted from Figure </w:t>
            </w:r>
            <w:r>
              <w:rPr>
                <w:rFonts w:ascii="Times New Roman" w:hAnsi="Times New Roman" w:hint="eastAsia"/>
                <w:sz w:val="24"/>
              </w:rPr>
              <w:t>4</w:t>
            </w:r>
            <w:r>
              <w:rPr>
                <w:rFonts w:ascii="Times New Roman" w:hAnsi="Times New Roman"/>
                <w:sz w:val="24"/>
              </w:rPr>
              <w:t xml:space="preserve"> </w:t>
            </w:r>
            <w:r>
              <w:rPr>
                <w:rFonts w:ascii="Times New Roman" w:hAnsi="Times New Roman" w:hint="eastAsia"/>
                <w:sz w:val="24"/>
              </w:rPr>
              <w:t>in</w:t>
            </w:r>
            <w:r>
              <w:rPr>
                <w:rFonts w:ascii="Times New Roman" w:hAnsi="Times New Roman"/>
                <w:sz w:val="24"/>
              </w:rPr>
              <w:t xml:space="preserve"> the study by </w:t>
            </w:r>
            <w:r>
              <w:rPr>
                <w:rFonts w:ascii="Times New Roman" w:hAnsi="Times New Roman" w:hint="eastAsia"/>
                <w:sz w:val="24"/>
              </w:rPr>
              <w:t xml:space="preserve">Nikolaidou </w:t>
            </w:r>
            <w:r>
              <w:rPr>
                <w:rFonts w:ascii="Times New Roman" w:hAnsi="Times New Roman"/>
                <w:sz w:val="24"/>
              </w:rPr>
              <w:t>and colleagues</w:t>
            </w:r>
            <w:r>
              <w:rPr>
                <w:rFonts w:ascii="Times New Roman" w:hAnsi="Times New Roman"/>
                <w:sz w:val="24"/>
              </w:rPr>
              <w:fldChar w:fldCharType="begin" w:fldLock="1"/>
            </w:r>
            <w:r>
              <w:rPr>
                <w:rFonts w:ascii="Times New Roman" w:hAnsi="Times New Roman"/>
                <w:sz w:val="24"/>
              </w:rPr>
              <w:instrText>ADD</w:instrText>
            </w:r>
            <w:r>
              <w:rPr>
                <w:rFonts w:ascii="Times New Roman" w:hAnsi="Times New Roman"/>
                <w:sz w:val="24"/>
              </w:rPr>
              <w:instrText>IN CSL_CITATION {"citationItems":[{"id":"ITEM-1","itemData":{"DOI":"10.1556/2006.8.2019.60","ISSN":"2062-5871","author":[{"dropping-particle":"","family":"Nikolaidou","given":"M","non-dropping-particle":"","parse-names":false,"suffix":""},{"dropping-partic</w:instrText>
            </w:r>
            <w:r>
              <w:rPr>
                <w:rFonts w:ascii="Times New Roman" w:hAnsi="Times New Roman"/>
                <w:sz w:val="24"/>
              </w:rPr>
              <w:instrText xml:space="preserve">le":"","family":"Fraser","given":"D S","non-dropping-particle":"","parse-names":false,"suffix":""},{"dropping-particle":"","family":"Hinvest","given":"N","non-dropping-particle":"","parse-names":false,"suffix":""}],"container-title":"JOURNAL OF BEHAVIORAL </w:instrText>
            </w:r>
            <w:r>
              <w:rPr>
                <w:rFonts w:ascii="Times New Roman" w:hAnsi="Times New Roman"/>
                <w:sz w:val="24"/>
              </w:rPr>
              <w:instrText>ADDICTIONS","id":"ITEM-1","issue":"4","issued":{"date-parts":[["2019"]]},"page":"733-742","title":"Attentional bias in Internet users with problematic use of social networking sites","type":"article-journal","volume":"8"},"uris":["http://www.mendeley.com/d</w:instrText>
            </w:r>
            <w:r>
              <w:rPr>
                <w:rFonts w:ascii="Times New Roman" w:hAnsi="Times New Roman"/>
                <w:sz w:val="24"/>
              </w:rPr>
              <w:instrText>ocuments/?uuid=dccf5d57-e65b-4d0a-9298-ac0c4565a495"]}],"mendeley":{"formattedCitation":"&lt;sup&gt;3&lt;/sup&gt;","plainTextFormattedCitation":"3","previouslyFormattedCitation":"&lt;sup&gt;3&lt;/sup&gt;"},"properties":{"noteIndex":0},"schema":"https://github.com/citation-style-l</w:instrText>
            </w:r>
            <w:r>
              <w:rPr>
                <w:rFonts w:ascii="Times New Roman" w:hAnsi="Times New Roman"/>
                <w:sz w:val="24"/>
              </w:rPr>
              <w:instrText>anguage/schema/raw/master/csl-citation.json"}</w:instrText>
            </w:r>
            <w:r>
              <w:rPr>
                <w:rFonts w:ascii="Times New Roman" w:hAnsi="Times New Roman"/>
                <w:sz w:val="24"/>
              </w:rPr>
              <w:fldChar w:fldCharType="separate"/>
            </w:r>
            <w:r>
              <w:rPr>
                <w:rFonts w:ascii="Times New Roman" w:hAnsi="Times New Roman"/>
                <w:sz w:val="24"/>
                <w:vertAlign w:val="superscript"/>
              </w:rPr>
              <w:t>3</w:t>
            </w:r>
            <w:r>
              <w:rPr>
                <w:rFonts w:ascii="Times New Roman" w:hAnsi="Times New Roman"/>
                <w:sz w:val="24"/>
              </w:rPr>
              <w:fldChar w:fldCharType="end"/>
            </w:r>
            <w:r>
              <w:rPr>
                <w:rFonts w:ascii="Times New Roman" w:hAnsi="Times New Roman" w:hint="eastAsia"/>
                <w:sz w:val="24"/>
              </w:rPr>
              <w:t>).</w:t>
            </w:r>
            <w:r>
              <w:rPr>
                <w:rFonts w:ascii="Times New Roman" w:eastAsia="SimSun" w:hAnsi="Times New Roman" w:hint="eastAsia"/>
                <w:sz w:val="24"/>
              </w:rPr>
              <w:t xml:space="preserve"> </w:t>
            </w:r>
          </w:p>
          <w:p w14:paraId="0E137D7B" w14:textId="77777777" w:rsidR="004F64F1" w:rsidRDefault="004F64F1">
            <w:pPr>
              <w:rPr>
                <w:rFonts w:ascii="Times New Roman" w:eastAsia="SimSun" w:hAnsi="Times New Roman"/>
                <w:sz w:val="24"/>
              </w:rPr>
            </w:pPr>
          </w:p>
        </w:tc>
        <w:tc>
          <w:tcPr>
            <w:tcW w:w="5447" w:type="dxa"/>
            <w:tcBorders>
              <w:bottom w:val="single" w:sz="4" w:space="0" w:color="auto"/>
            </w:tcBorders>
          </w:tcPr>
          <w:p w14:paraId="1CC1902F" w14:textId="77777777" w:rsidR="004F64F1" w:rsidRDefault="009D3646">
            <w:pPr>
              <w:jc w:val="center"/>
              <w:rPr>
                <w:rFonts w:ascii="Times New Roman" w:hAnsi="Times New Roman"/>
                <w:sz w:val="22"/>
                <w:szCs w:val="28"/>
              </w:rPr>
            </w:pPr>
            <w:r>
              <w:rPr>
                <w:noProof/>
              </w:rPr>
              <w:lastRenderedPageBreak/>
              <w:drawing>
                <wp:inline distT="0" distB="0" distL="114300" distR="114300" wp14:anchorId="570CA32C" wp14:editId="1ADCB018">
                  <wp:extent cx="2503170" cy="1941195"/>
                  <wp:effectExtent l="0" t="0" r="11430" b="9525"/>
                  <wp:docPr id="9" name="图片 3" descr="A diagram of a diagram of a present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A diagram of a diagram of a presentation&#10;&#10;Description automatically generated"/>
                          <pic:cNvPicPr>
                            <a:picLocks noChangeAspect="1"/>
                          </pic:cNvPicPr>
                        </pic:nvPicPr>
                        <pic:blipFill>
                          <a:blip r:embed="rId10"/>
                          <a:srcRect r="17772" b="14894"/>
                          <a:stretch>
                            <a:fillRect/>
                          </a:stretch>
                        </pic:blipFill>
                        <pic:spPr>
                          <a:xfrm>
                            <a:off x="0" y="0"/>
                            <a:ext cx="2503170" cy="1941195"/>
                          </a:xfrm>
                          <a:prstGeom prst="rect">
                            <a:avLst/>
                          </a:prstGeom>
                          <a:noFill/>
                          <a:ln>
                            <a:noFill/>
                          </a:ln>
                        </pic:spPr>
                      </pic:pic>
                    </a:graphicData>
                  </a:graphic>
                </wp:inline>
              </w:drawing>
            </w:r>
          </w:p>
        </w:tc>
      </w:tr>
      <w:tr w:rsidR="004F64F1" w14:paraId="070CC7E6" w14:textId="77777777">
        <w:tc>
          <w:tcPr>
            <w:tcW w:w="8727" w:type="dxa"/>
            <w:tcBorders>
              <w:top w:val="single" w:sz="4" w:space="0" w:color="auto"/>
            </w:tcBorders>
          </w:tcPr>
          <w:p w14:paraId="4A8CCBBD" w14:textId="77777777" w:rsidR="004F64F1" w:rsidRDefault="009D3646">
            <w:pPr>
              <w:spacing w:beforeLines="50" w:before="156" w:line="360" w:lineRule="auto"/>
              <w:rPr>
                <w:rFonts w:ascii="Times New Roman" w:eastAsia="SimSun" w:hAnsi="Times New Roman"/>
                <w:sz w:val="24"/>
              </w:rPr>
            </w:pPr>
            <w:r>
              <w:rPr>
                <w:rFonts w:ascii="Times New Roman" w:hAnsi="Times New Roman" w:hint="eastAsia"/>
                <w:b/>
                <w:bCs/>
                <w:sz w:val="24"/>
              </w:rPr>
              <w:t>Habit learning</w:t>
            </w:r>
          </w:p>
        </w:tc>
        <w:tc>
          <w:tcPr>
            <w:tcW w:w="5447" w:type="dxa"/>
            <w:tcBorders>
              <w:top w:val="single" w:sz="4" w:space="0" w:color="auto"/>
            </w:tcBorders>
          </w:tcPr>
          <w:p w14:paraId="1670F8FD" w14:textId="77777777" w:rsidR="004F64F1" w:rsidRDefault="004F64F1">
            <w:pPr>
              <w:rPr>
                <w:rFonts w:ascii="Times New Roman" w:hAnsi="Times New Roman"/>
                <w:sz w:val="22"/>
                <w:szCs w:val="28"/>
              </w:rPr>
            </w:pPr>
          </w:p>
        </w:tc>
      </w:tr>
      <w:tr w:rsidR="004F64F1" w14:paraId="26C026AA" w14:textId="77777777">
        <w:tc>
          <w:tcPr>
            <w:tcW w:w="8727" w:type="dxa"/>
            <w:tcBorders>
              <w:bottom w:val="single" w:sz="8" w:space="0" w:color="auto"/>
            </w:tcBorders>
          </w:tcPr>
          <w:p w14:paraId="105D68B2" w14:textId="77777777" w:rsidR="004F64F1" w:rsidRDefault="009D3646">
            <w:pPr>
              <w:numPr>
                <w:ilvl w:val="0"/>
                <w:numId w:val="2"/>
              </w:numPr>
              <w:spacing w:line="288" w:lineRule="auto"/>
              <w:rPr>
                <w:rFonts w:ascii="Times New Roman" w:hAnsi="Times New Roman"/>
                <w:sz w:val="24"/>
              </w:rPr>
            </w:pPr>
            <w:r>
              <w:rPr>
                <w:rFonts w:ascii="Times New Roman" w:hAnsi="Times New Roman"/>
                <w:sz w:val="24"/>
              </w:rPr>
              <w:t xml:space="preserve">The </w:t>
            </w:r>
            <w:r>
              <w:rPr>
                <w:rFonts w:ascii="Times New Roman" w:hAnsi="Times New Roman" w:hint="eastAsia"/>
                <w:sz w:val="24"/>
              </w:rPr>
              <w:t>f</w:t>
            </w:r>
            <w:r>
              <w:rPr>
                <w:rFonts w:ascii="Times New Roman" w:hAnsi="Times New Roman"/>
                <w:sz w:val="24"/>
              </w:rPr>
              <w:t xml:space="preserve">abulous </w:t>
            </w:r>
            <w:r>
              <w:rPr>
                <w:rFonts w:ascii="Times New Roman" w:hAnsi="Times New Roman" w:hint="eastAsia"/>
                <w:sz w:val="24"/>
              </w:rPr>
              <w:t>f</w:t>
            </w:r>
            <w:r>
              <w:rPr>
                <w:rFonts w:ascii="Times New Roman" w:hAnsi="Times New Roman"/>
                <w:sz w:val="24"/>
              </w:rPr>
              <w:t xml:space="preserve">ruit </w:t>
            </w:r>
            <w:r>
              <w:rPr>
                <w:rFonts w:ascii="Times New Roman" w:hAnsi="Times New Roman" w:hint="eastAsia"/>
                <w:sz w:val="24"/>
              </w:rPr>
              <w:t>g</w:t>
            </w:r>
            <w:r>
              <w:rPr>
                <w:rFonts w:ascii="Times New Roman" w:hAnsi="Times New Roman"/>
                <w:sz w:val="24"/>
              </w:rPr>
              <w:t>ame task measures</w:t>
            </w:r>
            <w:r>
              <w:rPr>
                <w:rFonts w:ascii="Times New Roman" w:hAnsi="Times New Roman" w:hint="eastAsia"/>
                <w:sz w:val="24"/>
              </w:rPr>
              <w:t xml:space="preserve"> the</w:t>
            </w:r>
            <w:r>
              <w:rPr>
                <w:rFonts w:ascii="Times New Roman" w:hAnsi="Times New Roman"/>
                <w:sz w:val="24"/>
              </w:rPr>
              <w:t xml:space="preserve"> balance between goal-directed and habitual </w:t>
            </w:r>
            <w:r>
              <w:rPr>
                <w:rFonts w:ascii="Times New Roman" w:hAnsi="Times New Roman" w:hint="eastAsia"/>
                <w:sz w:val="24"/>
              </w:rPr>
              <w:t>learning</w:t>
            </w:r>
            <w:r>
              <w:rPr>
                <w:rFonts w:ascii="Times New Roman" w:hAnsi="Times New Roman"/>
                <w:sz w:val="24"/>
              </w:rPr>
              <w:t xml:space="preserve"> </w:t>
            </w:r>
            <w:r>
              <w:rPr>
                <w:rFonts w:ascii="Times New Roman" w:hAnsi="Times New Roman" w:hint="eastAsia"/>
                <w:sz w:val="24"/>
              </w:rPr>
              <w:t>by</w:t>
            </w:r>
            <w:r>
              <w:rPr>
                <w:rFonts w:ascii="Times New Roman" w:hAnsi="Times New Roman"/>
                <w:sz w:val="24"/>
              </w:rPr>
              <w:t xml:space="preserve"> manipulat</w:t>
            </w:r>
            <w:r>
              <w:rPr>
                <w:rFonts w:ascii="Times New Roman" w:hAnsi="Times New Roman" w:hint="eastAsia"/>
                <w:sz w:val="24"/>
              </w:rPr>
              <w:t>ing</w:t>
            </w:r>
            <w:r>
              <w:rPr>
                <w:rFonts w:ascii="Times New Roman" w:hAnsi="Times New Roman"/>
                <w:sz w:val="24"/>
              </w:rPr>
              <w:t xml:space="preserve"> outcome devaluation. The task consists of a discrimination </w:t>
            </w:r>
            <w:r>
              <w:rPr>
                <w:rFonts w:ascii="Times New Roman" w:hAnsi="Times New Roman" w:hint="eastAsia"/>
                <w:sz w:val="24"/>
              </w:rPr>
              <w:t>learn</w:t>
            </w:r>
            <w:r>
              <w:rPr>
                <w:rFonts w:ascii="Times New Roman" w:hAnsi="Times New Roman"/>
                <w:sz w:val="24"/>
              </w:rPr>
              <w:t>ing phase and an outcome</w:t>
            </w:r>
            <w:r>
              <w:rPr>
                <w:rFonts w:ascii="Times New Roman" w:hAnsi="Times New Roman" w:hint="eastAsia"/>
                <w:sz w:val="24"/>
              </w:rPr>
              <w:t xml:space="preserve"> </w:t>
            </w:r>
            <w:r>
              <w:rPr>
                <w:rFonts w:ascii="Times New Roman" w:hAnsi="Times New Roman"/>
                <w:sz w:val="24"/>
              </w:rPr>
              <w:t>devaluation test phase</w:t>
            </w:r>
            <w:r>
              <w:rPr>
                <w:rFonts w:ascii="Times New Roman" w:hAnsi="Times New Roman" w:hint="eastAsia"/>
                <w:sz w:val="24"/>
              </w:rPr>
              <w:t>. During the discrimination learning phase, participants learn by trial and error to press a left or right button (R) to stimuli (S) in order to</w:t>
            </w:r>
            <w:r>
              <w:rPr>
                <w:rFonts w:ascii="Times New Roman" w:hAnsi="Times New Roman" w:hint="eastAsia"/>
                <w:sz w:val="24"/>
              </w:rPr>
              <w:t xml:space="preserve"> gain outcomes (O) that yield points representing monetary reward</w:t>
            </w:r>
            <w:r>
              <w:rPr>
                <w:rFonts w:ascii="Times New Roman" w:hAnsi="Times New Roman"/>
                <w:sz w:val="24"/>
              </w:rPr>
              <w:t>s</w:t>
            </w:r>
            <w:r>
              <w:rPr>
                <w:rFonts w:ascii="Times New Roman" w:hAnsi="Times New Roman" w:hint="eastAsia"/>
                <w:sz w:val="24"/>
              </w:rPr>
              <w:t xml:space="preserve">. Three trial types with different S-O contingencies can be distinguished: standard, congruent and incongruent. </w:t>
            </w:r>
          </w:p>
          <w:p w14:paraId="6A863999" w14:textId="77777777" w:rsidR="004F64F1" w:rsidRDefault="009D3646">
            <w:pPr>
              <w:spacing w:line="288" w:lineRule="auto"/>
              <w:ind w:firstLineChars="200" w:firstLine="480"/>
              <w:rPr>
                <w:rFonts w:ascii="Times New Roman" w:hAnsi="Times New Roman"/>
                <w:sz w:val="24"/>
              </w:rPr>
            </w:pPr>
            <w:r>
              <w:rPr>
                <w:rFonts w:ascii="Times New Roman" w:hAnsi="Times New Roman" w:hint="eastAsia"/>
                <w:sz w:val="24"/>
              </w:rPr>
              <w:t xml:space="preserve">Following the learning phase, an outcome-devaluation test phase assesses the </w:t>
            </w:r>
            <w:r>
              <w:rPr>
                <w:rFonts w:ascii="Times New Roman" w:hAnsi="Times New Roman" w:hint="eastAsia"/>
                <w:sz w:val="24"/>
              </w:rPr>
              <w:t xml:space="preserve">strength of goal-directed R-O associations. Here, some of the outcomes are devalued and learned responses to the certain outcomes are </w:t>
            </w:r>
            <w:r>
              <w:rPr>
                <w:rFonts w:ascii="Times New Roman" w:hAnsi="Times New Roman"/>
                <w:sz w:val="24"/>
              </w:rPr>
              <w:t>no longer worth any points</w:t>
            </w:r>
            <w:r>
              <w:rPr>
                <w:rFonts w:ascii="Times New Roman" w:hAnsi="Times New Roman" w:hint="eastAsia"/>
                <w:sz w:val="24"/>
              </w:rPr>
              <w:t>. Participants should therefore direct their choices towards the still-valuable outcomes accordi</w:t>
            </w:r>
            <w:r>
              <w:rPr>
                <w:rFonts w:ascii="Times New Roman" w:hAnsi="Times New Roman" w:hint="eastAsia"/>
                <w:sz w:val="24"/>
              </w:rPr>
              <w:t>ng to the R-O relationships they have learnt. T</w:t>
            </w:r>
            <w:r>
              <w:rPr>
                <w:rFonts w:ascii="Times New Roman" w:hAnsi="Times New Roman"/>
                <w:sz w:val="24"/>
              </w:rPr>
              <w:t xml:space="preserve">he final test, </w:t>
            </w:r>
            <w:r>
              <w:rPr>
                <w:rFonts w:ascii="Times New Roman" w:hAnsi="Times New Roman" w:hint="eastAsia"/>
                <w:sz w:val="24"/>
              </w:rPr>
              <w:t xml:space="preserve">a slips-of-action test, assesses the strength of habitual learning S-R associations. Some of the outcomes are devalued, and participants </w:t>
            </w:r>
            <w:r>
              <w:rPr>
                <w:rFonts w:ascii="Times New Roman" w:hAnsi="Times New Roman"/>
                <w:sz w:val="24"/>
              </w:rPr>
              <w:t xml:space="preserve">are asked to </w:t>
            </w:r>
            <w:r>
              <w:rPr>
                <w:rFonts w:ascii="Times New Roman" w:hAnsi="Times New Roman" w:hint="eastAsia"/>
                <w:sz w:val="24"/>
              </w:rPr>
              <w:t xml:space="preserve">respond to </w:t>
            </w:r>
            <w:r>
              <w:rPr>
                <w:rFonts w:ascii="Times New Roman" w:hAnsi="Times New Roman"/>
                <w:sz w:val="24"/>
              </w:rPr>
              <w:t xml:space="preserve">a stimulus </w:t>
            </w:r>
            <w:r>
              <w:rPr>
                <w:rFonts w:ascii="Times New Roman" w:hAnsi="Times New Roman" w:hint="eastAsia"/>
                <w:sz w:val="24"/>
              </w:rPr>
              <w:t>paired with</w:t>
            </w:r>
            <w:r>
              <w:rPr>
                <w:rFonts w:ascii="Times New Roman" w:hAnsi="Times New Roman"/>
                <w:sz w:val="24"/>
              </w:rPr>
              <w:t xml:space="preserve"> </w:t>
            </w:r>
            <w:r>
              <w:rPr>
                <w:rFonts w:ascii="Times New Roman" w:hAnsi="Times New Roman" w:hint="eastAsia"/>
                <w:sz w:val="24"/>
              </w:rPr>
              <w:t xml:space="preserve">a </w:t>
            </w:r>
            <w:r>
              <w:rPr>
                <w:rFonts w:ascii="Times New Roman" w:hAnsi="Times New Roman"/>
                <w:sz w:val="24"/>
              </w:rPr>
              <w:t>still-va</w:t>
            </w:r>
            <w:r>
              <w:rPr>
                <w:rFonts w:ascii="Times New Roman" w:hAnsi="Times New Roman"/>
                <w:sz w:val="24"/>
              </w:rPr>
              <w:t xml:space="preserve">luable outcome and </w:t>
            </w:r>
            <w:r>
              <w:rPr>
                <w:rFonts w:ascii="Times New Roman" w:hAnsi="Times New Roman" w:hint="eastAsia"/>
                <w:sz w:val="24"/>
              </w:rPr>
              <w:t xml:space="preserve">to </w:t>
            </w:r>
            <w:r>
              <w:rPr>
                <w:rFonts w:ascii="Times New Roman" w:hAnsi="Times New Roman"/>
                <w:sz w:val="24"/>
              </w:rPr>
              <w:t>refrain from responding if</w:t>
            </w:r>
            <w:r>
              <w:rPr>
                <w:rFonts w:ascii="Times New Roman" w:hAnsi="Times New Roman" w:hint="eastAsia"/>
                <w:sz w:val="24"/>
              </w:rPr>
              <w:t xml:space="preserve"> </w:t>
            </w:r>
            <w:r>
              <w:rPr>
                <w:rFonts w:ascii="Times New Roman" w:hAnsi="Times New Roman"/>
                <w:sz w:val="24"/>
              </w:rPr>
              <w:t>the outcome has been devalued</w:t>
            </w:r>
            <w:r>
              <w:rPr>
                <w:rFonts w:ascii="Times New Roman" w:hAnsi="Times New Roman" w:hint="eastAsia"/>
                <w:sz w:val="24"/>
              </w:rPr>
              <w:t xml:space="preserve"> </w:t>
            </w:r>
            <w:r>
              <w:rPr>
                <w:rFonts w:ascii="Times New Roman" w:hAnsi="Times New Roman"/>
                <w:sz w:val="24"/>
              </w:rPr>
              <w:t>(adapted from Figure 1 in the study by Gillan</w:t>
            </w:r>
            <w:r>
              <w:rPr>
                <w:rFonts w:ascii="Times New Roman" w:hAnsi="Times New Roman" w:hint="eastAsia"/>
                <w:sz w:val="24"/>
              </w:rPr>
              <w:t xml:space="preserve"> </w:t>
            </w:r>
            <w:r>
              <w:rPr>
                <w:rFonts w:ascii="Times New Roman" w:hAnsi="Times New Roman"/>
                <w:sz w:val="24"/>
              </w:rPr>
              <w:t>and colleagues</w:t>
            </w:r>
            <w:r>
              <w:rPr>
                <w:rFonts w:ascii="Times New Roman" w:hAnsi="Times New Roman"/>
                <w:sz w:val="24"/>
              </w:rPr>
              <w:fldChar w:fldCharType="begin" w:fldLock="1"/>
            </w:r>
            <w:r>
              <w:rPr>
                <w:rFonts w:ascii="Times New Roman" w:hAnsi="Times New Roman"/>
                <w:sz w:val="24"/>
              </w:rPr>
              <w:instrText>ADDIN CSL_CITATION {"citationItems":[{"id":"ITEM-1","itemData":{"DOI":"10.1176/appi.ajp.2011.10071062","ISSN":"1535-7</w:instrText>
            </w:r>
            <w:r>
              <w:rPr>
                <w:rFonts w:ascii="Times New Roman" w:hAnsi="Times New Roman"/>
                <w:sz w:val="24"/>
              </w:rPr>
              <w:instrText>228 (Electronic)","PMID":"21572165","abstract":"OBJECTIVE: Obsessive-compulsive disorder (OCD) is characterized by repetitive,  ritualistic behaviors and thought patterns. Although patients with OCD report that these compulsive behaviors are unproductive a</w:instrText>
            </w:r>
            <w:r>
              <w:rPr>
                <w:rFonts w:ascii="Times New Roman" w:hAnsi="Times New Roman"/>
                <w:sz w:val="24"/>
              </w:rPr>
              <w:instrText>nd often senseless, they are unable to desist. This study investigated whether the urge to perform compulsive acts is mediated by a disruption in the balance between flexible, goal-directed action control and habitual behavior. METHOD: A total of 21 patien</w:instrText>
            </w:r>
            <w:r>
              <w:rPr>
                <w:rFonts w:ascii="Times New Roman" w:hAnsi="Times New Roman"/>
                <w:sz w:val="24"/>
              </w:rPr>
              <w:instrText xml:space="preserve">ts with OCD and 30 healthy comparison subjects participated in a set of tasks designed to assess relative goal-directed versus habitual behavioral control. In the training stage, participants were asked to respond to different pictured stimuli in order to </w:instrText>
            </w:r>
            <w:r>
              <w:rPr>
                <w:rFonts w:ascii="Times New Roman" w:hAnsi="Times New Roman"/>
                <w:sz w:val="24"/>
              </w:rPr>
              <w:instrText xml:space="preserve">gain rewarding outcomes. In the subsequent (instructed) outcome devaluation test and in a novel \"slips-of-action\" test, the authors assessed whether participants were able to flexibly adjust their behavior to changes in the desirability of the outcomes. </w:instrText>
            </w:r>
            <w:r>
              <w:rPr>
                <w:rFonts w:ascii="Times New Roman" w:hAnsi="Times New Roman"/>
                <w:sz w:val="24"/>
              </w:rPr>
              <w:instrText>The authors also used a questionnaire to test explicit knowledge of the relationships between stimuli, responses, and outcomes. RESULTS: Patients with OCD showed no deficit in their ability to use feedback to respond appropriately to stimuli in the trainin</w:instrText>
            </w:r>
            <w:r>
              <w:rPr>
                <w:rFonts w:ascii="Times New Roman" w:hAnsi="Times New Roman"/>
                <w:sz w:val="24"/>
              </w:rPr>
              <w:instrText>g stage. However, their knowledge of the outcomes of these responses was impaired relative to healthy comparison subjects, and patients were more prone to slips of action, indicating a deficit in goal-directed control and an overreliance on habits. CONCLUS</w:instrText>
            </w:r>
            <w:r>
              <w:rPr>
                <w:rFonts w:ascii="Times New Roman" w:hAnsi="Times New Roman"/>
                <w:sz w:val="24"/>
              </w:rPr>
              <w:instrText>IONS: This study provides the first experimental evidence for selective impairment in flexible and goal-directed behavioral control in patients with OCD. The impairment forces patients with OCD to rely instead on habits that can be triggered by stimuli reg</w:instrText>
            </w:r>
            <w:r>
              <w:rPr>
                <w:rFonts w:ascii="Times New Roman" w:hAnsi="Times New Roman"/>
                <w:sz w:val="24"/>
              </w:rPr>
              <w:instrText xml:space="preserve">ardless of the desirability of the consequences. Goal-directed actions are supported by orbitofronto-striatal circuitry, and the study findings are thus in line with findings from research that implicate dysfunction in this circuitry in the neuropathology </w:instrText>
            </w:r>
            <w:r>
              <w:rPr>
                <w:rFonts w:ascii="Times New Roman" w:hAnsi="Times New Roman"/>
                <w:sz w:val="24"/>
              </w:rPr>
              <w:instrText>of OCD.","author":[{"dropping-particle":"","family":"Gillan","given":"Claire M","non-dropping-particle":"","parse-names":false,"suffix":""},{"dropping-particle":"","family":"Papmeyer","given":"Martina","non-dropping-particle":"","parse-names":false,"suffix</w:instrText>
            </w:r>
            <w:r>
              <w:rPr>
                <w:rFonts w:ascii="Times New Roman" w:hAnsi="Times New Roman"/>
                <w:sz w:val="24"/>
              </w:rPr>
              <w:instrText>":""},{"dropping-particle":"","family":"Morein-Zamir","given":"Sharon","non-dropping-particle":"","parse-names":false,"suffix":""},{"dropping-particle":"","family":"Sahakian","given":"Barbara J","non-dropping-particle":"","parse-names":false,"suffix":""},{</w:instrText>
            </w:r>
            <w:r>
              <w:rPr>
                <w:rFonts w:ascii="Times New Roman" w:hAnsi="Times New Roman"/>
                <w:sz w:val="24"/>
              </w:rPr>
              <w:instrText>"dropping-particle":"","family":"Fineberg","given":"Naomi A","non-dropping-particle":"","parse-names":false,"suffix":""},{"dropping-particle":"","family":"Robbins","given":"Trevor W","non-dropping-particle":"","parse-names":false,"suffix":""},{"dropping-pa</w:instrText>
            </w:r>
            <w:r>
              <w:rPr>
                <w:rFonts w:ascii="Times New Roman" w:hAnsi="Times New Roman"/>
                <w:sz w:val="24"/>
              </w:rPr>
              <w:instrText>rticle":"","family":"Wit","given":"Sanne","non-dropping-particle":"de","parse-names":false,"suffix":""}],"container-title":"The American journal of psychiatry","id":"ITEM-1","issue":"7","issued":{"date-parts":[["2011","7"]]},"language":"eng","page":"718-72</w:instrText>
            </w:r>
            <w:r>
              <w:rPr>
                <w:rFonts w:ascii="Times New Roman" w:hAnsi="Times New Roman"/>
                <w:sz w:val="24"/>
              </w:rPr>
              <w:instrText>6","publisher-place":"United States","title":"Disruption in the balance between goal-directed behavior and habit learning in  obsessive-compulsive disorder.","type":"article-journal","volume":"168"},"uris":["http://www.mendeley.com/documents/?uuid=1bd4d4ca</w:instrText>
            </w:r>
            <w:r>
              <w:rPr>
                <w:rFonts w:ascii="Times New Roman" w:hAnsi="Times New Roman"/>
                <w:sz w:val="24"/>
              </w:rPr>
              <w:instrText>-79be-402b-968e-855f0ae3cd0c"]}],"mendeley":{"formattedCitation":"&lt;sup&gt;4&lt;/sup&gt;","plainTextFormattedCitation":"4","previouslyFormattedCitation":"&lt;sup&gt;4&lt;/sup&gt;"},"properties":{"noteIndex":0},"schema":"https://github.com/citation-style-language/schema/raw/mast</w:instrText>
            </w:r>
            <w:r>
              <w:rPr>
                <w:rFonts w:ascii="Times New Roman" w:hAnsi="Times New Roman"/>
                <w:sz w:val="24"/>
              </w:rPr>
              <w:instrText>er/csl-citation.json"}</w:instrText>
            </w:r>
            <w:r>
              <w:rPr>
                <w:rFonts w:ascii="Times New Roman" w:hAnsi="Times New Roman"/>
                <w:sz w:val="24"/>
              </w:rPr>
              <w:fldChar w:fldCharType="separate"/>
            </w:r>
            <w:r>
              <w:rPr>
                <w:rFonts w:ascii="Times New Roman" w:hAnsi="Times New Roman"/>
                <w:sz w:val="24"/>
                <w:vertAlign w:val="superscript"/>
              </w:rPr>
              <w:t>4</w:t>
            </w:r>
            <w:r>
              <w:rPr>
                <w:rFonts w:ascii="Times New Roman" w:hAnsi="Times New Roman"/>
                <w:sz w:val="24"/>
              </w:rPr>
              <w:fldChar w:fldCharType="end"/>
            </w:r>
            <w:r>
              <w:rPr>
                <w:rFonts w:ascii="Times New Roman" w:hAnsi="Times New Roman"/>
                <w:sz w:val="24"/>
              </w:rPr>
              <w:t>).</w:t>
            </w:r>
          </w:p>
          <w:p w14:paraId="3A5C809E" w14:textId="77777777" w:rsidR="004F64F1" w:rsidRDefault="004F64F1">
            <w:pPr>
              <w:spacing w:line="288" w:lineRule="auto"/>
              <w:rPr>
                <w:rFonts w:ascii="Times New Roman" w:hAnsi="Times New Roman"/>
                <w:sz w:val="24"/>
              </w:rPr>
            </w:pPr>
          </w:p>
        </w:tc>
        <w:tc>
          <w:tcPr>
            <w:tcW w:w="5447" w:type="dxa"/>
            <w:tcBorders>
              <w:bottom w:val="single" w:sz="8" w:space="0" w:color="auto"/>
            </w:tcBorders>
          </w:tcPr>
          <w:p w14:paraId="09BF05AB" w14:textId="77777777" w:rsidR="004F64F1" w:rsidRDefault="009D3646">
            <w:pPr>
              <w:jc w:val="center"/>
              <w:rPr>
                <w:rFonts w:ascii="SimSun" w:eastAsia="SimSun" w:hAnsi="SimSun" w:cs="SimSun"/>
                <w:sz w:val="24"/>
              </w:rPr>
            </w:pPr>
            <w:r>
              <w:rPr>
                <w:noProof/>
                <w:sz w:val="24"/>
              </w:rPr>
              <mc:AlternateContent>
                <mc:Choice Requires="wps">
                  <w:drawing>
                    <wp:anchor distT="0" distB="0" distL="114300" distR="114300" simplePos="0" relativeHeight="251662336" behindDoc="0" locked="0" layoutInCell="1" allowOverlap="1" wp14:anchorId="1F5C4BC8" wp14:editId="32D400F0">
                      <wp:simplePos x="0" y="0"/>
                      <wp:positionH relativeFrom="column">
                        <wp:posOffset>869950</wp:posOffset>
                      </wp:positionH>
                      <wp:positionV relativeFrom="paragraph">
                        <wp:posOffset>29210</wp:posOffset>
                      </wp:positionV>
                      <wp:extent cx="1588770" cy="2095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588770" cy="209550"/>
                              </a:xfrm>
                              <a:prstGeom prst="rect">
                                <a:avLst/>
                              </a:prstGeom>
                              <a:noFill/>
                              <a:ln>
                                <a:noFill/>
                              </a:ln>
                            </wps:spPr>
                            <wps:txbx>
                              <w:txbxContent>
                                <w:p w14:paraId="70B1B772" w14:textId="77777777" w:rsidR="004F64F1" w:rsidRDefault="009D3646">
                                  <w:pPr>
                                    <w:numPr>
                                      <w:ilvl w:val="0"/>
                                      <w:numId w:val="3"/>
                                    </w:numPr>
                                    <w:spacing w:line="200" w:lineRule="exact"/>
                                    <w:jc w:val="center"/>
                                    <w:rPr>
                                      <w:rFonts w:ascii="Arial" w:eastAsia="SimSun" w:hAnsi="Arial" w:cs="Arial"/>
                                      <w:sz w:val="20"/>
                                      <w:szCs w:val="20"/>
                                    </w:rPr>
                                  </w:pPr>
                                  <w:r>
                                    <w:rPr>
                                      <w:rFonts w:ascii="Arial" w:eastAsia="SimSun" w:hAnsi="Arial" w:cs="Arial"/>
                                      <w:sz w:val="20"/>
                                      <w:szCs w:val="20"/>
                                    </w:rPr>
                                    <w:t>Learning phase</w:t>
                                  </w:r>
                                </w:p>
                                <w:p w14:paraId="6CD776C4" w14:textId="77777777" w:rsidR="004F64F1" w:rsidRDefault="004F64F1"/>
                              </w:txbxContent>
                            </wps:txbx>
                            <wps:bodyPr upright="1"/>
                          </wps:wsp>
                        </a:graphicData>
                      </a:graphic>
                    </wp:anchor>
                  </w:drawing>
                </mc:Choice>
                <mc:Fallback xmlns:wpsCustomData="http://www.wps.cn/officeDocument/2013/wpsCustomData">
                  <w:pict>
                    <v:shape id="_x0000_s1026" o:spid="_x0000_s1026" o:spt="202" type="#_x0000_t202" style="position:absolute;left:0pt;margin-left:68.5pt;margin-top:2.3pt;height:16.5pt;width:125.1pt;z-index:251662336;mso-width-relative:page;mso-height-relative:page;" filled="f" stroked="f" coordsize="21600,21600" o:gfxdata="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PDOaTDWAAAA&#10;CAEAAA8AAAAAAAAAAQAgAAAAIgAAAGRycy9kb3ducmV2LnhtbFBLAQIUABQAAAAIAIdO4kDYwjK8&#10;rQEAAE4DAAAOAAAAAAAAAAEAIAAAACUBAABkcnMvZTJvRG9jLnhtbFBLBQYAAAAABgAGAFkBAABE&#10;BQAAAAA=&#10;">
                      <v:fill on="f" focussize="0,0"/>
                      <v:stroke on="f"/>
                      <v:imagedata o:title=""/>
                      <o:lock v:ext="edit" aspectratio="f"/>
                      <v:textbox>
                        <w:txbxContent>
                          <w:p>
                            <w:pPr>
                              <w:numPr>
                                <w:ilvl w:val="0"/>
                                <w:numId w:val="3"/>
                              </w:numPr>
                              <w:spacing w:line="200" w:lineRule="exact"/>
                              <w:jc w:val="center"/>
                              <w:rPr>
                                <w:rFonts w:ascii="Arial" w:hAnsi="Arial" w:eastAsia="宋体" w:cs="Arial"/>
                                <w:sz w:val="20"/>
                                <w:szCs w:val="20"/>
                              </w:rPr>
                            </w:pPr>
                            <w:r>
                              <w:rPr>
                                <w:rFonts w:ascii="Arial" w:hAnsi="Arial" w:eastAsia="宋体" w:cs="Arial"/>
                                <w:sz w:val="20"/>
                                <w:szCs w:val="20"/>
                              </w:rPr>
                              <w:t>Learning phase</w:t>
                            </w:r>
                          </w:p>
                          <w:p/>
                        </w:txbxContent>
                      </v:textbox>
                    </v:shape>
                  </w:pict>
                </mc:Fallback>
              </mc:AlternateContent>
            </w:r>
          </w:p>
          <w:p w14:paraId="0049238D" w14:textId="77777777" w:rsidR="004F64F1" w:rsidRDefault="009D3646">
            <w:pPr>
              <w:jc w:val="center"/>
              <w:rPr>
                <w:rFonts w:ascii="SimSun" w:eastAsia="SimSun" w:hAnsi="SimSun" w:cs="SimSun"/>
                <w:sz w:val="24"/>
              </w:rPr>
            </w:pPr>
            <w:r>
              <w:rPr>
                <w:rFonts w:ascii="SimSun" w:eastAsia="SimSun" w:hAnsi="SimSun" w:cs="SimSun"/>
                <w:sz w:val="24"/>
              </w:rPr>
              <w:fldChar w:fldCharType="begin"/>
            </w:r>
            <w:r>
              <w:rPr>
                <w:rFonts w:ascii="SimSun" w:eastAsia="SimSun" w:hAnsi="SimSun" w:cs="SimSun"/>
                <w:sz w:val="24"/>
              </w:rPr>
              <w:instrText xml:space="preserve">INCLUDEPICTURE \d "https://ajp.psychiatryonline.org/cms/10.1176/appi.ajp.2011.10071062/asset/images/large/appi.ajp.2011.718a.jpeg" \* MERGEFORMATINET </w:instrText>
            </w:r>
            <w:r>
              <w:rPr>
                <w:rFonts w:ascii="SimSun" w:eastAsia="SimSun" w:hAnsi="SimSun" w:cs="SimSun"/>
                <w:sz w:val="24"/>
              </w:rPr>
              <w:fldChar w:fldCharType="separate"/>
            </w:r>
            <w:r>
              <w:rPr>
                <w:rFonts w:ascii="SimSun" w:eastAsia="SimSun" w:hAnsi="SimSun" w:cs="SimSun"/>
                <w:noProof/>
                <w:sz w:val="24"/>
              </w:rPr>
              <w:drawing>
                <wp:inline distT="0" distB="0" distL="114300" distR="114300" wp14:anchorId="0A34C365" wp14:editId="2538A2C1">
                  <wp:extent cx="1687830" cy="1064895"/>
                  <wp:effectExtent l="0" t="0" r="3810" b="1905"/>
                  <wp:docPr id="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6"/>
                          <pic:cNvPicPr>
                            <a:picLocks noChangeAspect="1"/>
                          </pic:cNvPicPr>
                        </pic:nvPicPr>
                        <pic:blipFill>
                          <a:blip r:embed="rId11"/>
                          <a:srcRect l="3381" t="60040" r="64052"/>
                          <a:stretch>
                            <a:fillRect/>
                          </a:stretch>
                        </pic:blipFill>
                        <pic:spPr>
                          <a:xfrm>
                            <a:off x="0" y="0"/>
                            <a:ext cx="1687830" cy="1064895"/>
                          </a:xfrm>
                          <a:prstGeom prst="rect">
                            <a:avLst/>
                          </a:prstGeom>
                          <a:noFill/>
                          <a:ln>
                            <a:noFill/>
                          </a:ln>
                        </pic:spPr>
                      </pic:pic>
                    </a:graphicData>
                  </a:graphic>
                </wp:inline>
              </w:drawing>
            </w:r>
            <w:r>
              <w:rPr>
                <w:rFonts w:ascii="SimSun" w:eastAsia="SimSun" w:hAnsi="SimSun" w:cs="SimSun"/>
                <w:sz w:val="24"/>
              </w:rPr>
              <w:fldChar w:fldCharType="end"/>
            </w:r>
          </w:p>
          <w:p w14:paraId="10E59511" w14:textId="77777777" w:rsidR="004F64F1" w:rsidRDefault="009D3646">
            <w:pPr>
              <w:jc w:val="center"/>
              <w:rPr>
                <w:rFonts w:ascii="SimSun" w:eastAsia="SimSun" w:hAnsi="SimSun" w:cs="SimSun"/>
                <w:sz w:val="24"/>
              </w:rPr>
            </w:pPr>
            <w:r>
              <w:rPr>
                <w:noProof/>
                <w:sz w:val="24"/>
              </w:rPr>
              <mc:AlternateContent>
                <mc:Choice Requires="wps">
                  <w:drawing>
                    <wp:anchor distT="0" distB="0" distL="114300" distR="114300" simplePos="0" relativeHeight="251661312" behindDoc="0" locked="0" layoutInCell="1" allowOverlap="1" wp14:anchorId="08C88E46" wp14:editId="1106C3D6">
                      <wp:simplePos x="0" y="0"/>
                      <wp:positionH relativeFrom="column">
                        <wp:posOffset>1458595</wp:posOffset>
                      </wp:positionH>
                      <wp:positionV relativeFrom="paragraph">
                        <wp:posOffset>151765</wp:posOffset>
                      </wp:positionV>
                      <wp:extent cx="1437005" cy="30416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437005" cy="304165"/>
                              </a:xfrm>
                              <a:prstGeom prst="rect">
                                <a:avLst/>
                              </a:prstGeom>
                              <a:noFill/>
                              <a:ln>
                                <a:noFill/>
                              </a:ln>
                            </wps:spPr>
                            <wps:txbx>
                              <w:txbxContent>
                                <w:p w14:paraId="4FDCCA77" w14:textId="77777777" w:rsidR="004F64F1" w:rsidRDefault="009D3646">
                                  <w:pPr>
                                    <w:numPr>
                                      <w:ilvl w:val="0"/>
                                      <w:numId w:val="4"/>
                                    </w:numPr>
                                    <w:rPr>
                                      <w:rFonts w:ascii="Arial" w:eastAsia="SimSun" w:hAnsi="Arial" w:cs="Arial"/>
                                      <w:sz w:val="20"/>
                                      <w:szCs w:val="22"/>
                                    </w:rPr>
                                  </w:pPr>
                                  <w:r>
                                    <w:rPr>
                                      <w:rFonts w:ascii="Arial" w:hAnsi="Arial" w:cs="Arial"/>
                                      <w:sz w:val="20"/>
                                      <w:szCs w:val="22"/>
                                    </w:rPr>
                                    <w:t>Slips-of-action test</w:t>
                                  </w:r>
                                </w:p>
                              </w:txbxContent>
                            </wps:txbx>
                            <wps:bodyPr upright="1"/>
                          </wps:wsp>
                        </a:graphicData>
                      </a:graphic>
                    </wp:anchor>
                  </w:drawing>
                </mc:Choice>
                <mc:Fallback xmlns:wpsCustomData="http://www.wps.cn/officeDocument/2013/wpsCustomData">
                  <w:pict>
                    <v:shape id="_x0000_s1026" o:spid="_x0000_s1026" o:spt="202" type="#_x0000_t202" style="position:absolute;left:0pt;margin-left:114.85pt;margin-top:11.95pt;height:23.95pt;width:113.15pt;z-index:251661312;mso-width-relative:page;mso-height-relative:page;" filled="f" stroked="f" coordsize="21600,21600" o:gfxdata="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PUnBe1wAA&#10;AAkBAAAPAAAAAAAAAAEAIAAAACIAAABkcnMvZG93bnJldi54bWxQSwECFAAUAAAACACHTuJA/yM7&#10;Oa0BAABQAwAADgAAAAAAAAABACAAAAAmAQAAZHJzL2Uyb0RvYy54bWxQSwUGAAAAAAYABgBZAQAA&#10;RQUAAAAA&#10;">
                      <v:fill on="f" focussize="0,0"/>
                      <v:stroke on="f"/>
                      <v:imagedata o:title=""/>
                      <o:lock v:ext="edit" aspectratio="f"/>
                      <v:textbox>
                        <w:txbxContent>
                          <w:p>
                            <w:pPr>
                              <w:numPr>
                                <w:ilvl w:val="0"/>
                                <w:numId w:val="4"/>
                              </w:numPr>
                              <w:rPr>
                                <w:rFonts w:ascii="Arial" w:hAnsi="Arial" w:eastAsia="宋体" w:cs="Arial"/>
                                <w:sz w:val="20"/>
                                <w:szCs w:val="22"/>
                              </w:rPr>
                            </w:pPr>
                            <w:r>
                              <w:rPr>
                                <w:rFonts w:ascii="Arial" w:hAnsi="Arial" w:cs="Arial"/>
                                <w:sz w:val="20"/>
                                <w:szCs w:val="22"/>
                              </w:rPr>
                              <w:t>Slips-of-action test</w:t>
                            </w:r>
                          </w:p>
                        </w:txbxContent>
                      </v:textbox>
                    </v:shape>
                  </w:pict>
                </mc:Fallback>
              </mc:AlternateContent>
            </w:r>
            <w:r>
              <w:rPr>
                <w:noProof/>
                <w:sz w:val="24"/>
              </w:rPr>
              <mc:AlternateContent>
                <mc:Choice Requires="wps">
                  <w:drawing>
                    <wp:anchor distT="0" distB="0" distL="114300" distR="114300" simplePos="0" relativeHeight="251659264" behindDoc="0" locked="0" layoutInCell="1" allowOverlap="1" wp14:anchorId="4B93A941" wp14:editId="7AD10B82">
                      <wp:simplePos x="0" y="0"/>
                      <wp:positionH relativeFrom="column">
                        <wp:posOffset>-23495</wp:posOffset>
                      </wp:positionH>
                      <wp:positionV relativeFrom="paragraph">
                        <wp:posOffset>62865</wp:posOffset>
                      </wp:positionV>
                      <wp:extent cx="1096010" cy="4629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096010" cy="462915"/>
                              </a:xfrm>
                              <a:prstGeom prst="rect">
                                <a:avLst/>
                              </a:prstGeom>
                              <a:noFill/>
                              <a:ln>
                                <a:noFill/>
                              </a:ln>
                            </wps:spPr>
                            <wps:txbx>
                              <w:txbxContent>
                                <w:p w14:paraId="705DBDAE" w14:textId="77777777" w:rsidR="004F64F1" w:rsidRDefault="009D3646">
                                  <w:pPr>
                                    <w:numPr>
                                      <w:ilvl w:val="0"/>
                                      <w:numId w:val="5"/>
                                    </w:numPr>
                                    <w:spacing w:line="200" w:lineRule="exact"/>
                                    <w:rPr>
                                      <w:rFonts w:ascii="Arial" w:eastAsia="SimSun" w:hAnsi="Arial" w:cs="Arial"/>
                                      <w:sz w:val="20"/>
                                      <w:szCs w:val="20"/>
                                    </w:rPr>
                                  </w:pPr>
                                  <w:r>
                                    <w:rPr>
                                      <w:rFonts w:ascii="Arial" w:eastAsia="SimSun" w:hAnsi="Arial" w:cs="Arial"/>
                                      <w:sz w:val="20"/>
                                      <w:szCs w:val="20"/>
                                    </w:rPr>
                                    <w:t>Outcome-</w:t>
                                  </w:r>
                                </w:p>
                                <w:p w14:paraId="5742B37F" w14:textId="77777777" w:rsidR="004F64F1" w:rsidRDefault="009D3646">
                                  <w:pPr>
                                    <w:spacing w:line="200" w:lineRule="exact"/>
                                    <w:rPr>
                                      <w:rFonts w:ascii="SimSun" w:eastAsia="SimSun" w:hAnsi="SimSun" w:cs="SimSun"/>
                                      <w:sz w:val="24"/>
                                    </w:rPr>
                                  </w:pPr>
                                  <w:r>
                                    <w:rPr>
                                      <w:rFonts w:ascii="Arial" w:eastAsia="SimSun" w:hAnsi="Arial" w:cs="Arial"/>
                                      <w:sz w:val="20"/>
                                      <w:szCs w:val="20"/>
                                    </w:rPr>
                                    <w:t xml:space="preserve">devaluation </w:t>
                                  </w:r>
                                  <w:r>
                                    <w:rPr>
                                      <w:rFonts w:ascii="Arial" w:eastAsia="SimSun" w:hAnsi="Arial" w:cs="Arial" w:hint="eastAsia"/>
                                      <w:sz w:val="20"/>
                                      <w:szCs w:val="20"/>
                                    </w:rPr>
                                    <w:t>test</w:t>
                                  </w:r>
                                </w:p>
                                <w:p w14:paraId="34ECEF92" w14:textId="77777777" w:rsidR="004F64F1" w:rsidRDefault="004F64F1"/>
                              </w:txbxContent>
                            </wps:txbx>
                            <wps:bodyPr upright="1"/>
                          </wps:wsp>
                        </a:graphicData>
                      </a:graphic>
                    </wp:anchor>
                  </w:drawing>
                </mc:Choice>
                <mc:Fallback xmlns:wpsCustomData="http://www.wps.cn/officeDocument/2013/wpsCustomData">
                  <w:pict>
                    <v:shape id="_x0000_s1026" o:spid="_x0000_s1026" o:spt="202" type="#_x0000_t202" style="position:absolute;left:0pt;margin-left:-1.85pt;margin-top:4.95pt;height:36.45pt;width:86.3pt;z-index:251659264;mso-width-relative:page;mso-height-relative:page;" filled="f" stroked="f" coordsize="21600,21600" o:gfxdata="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Nh2VuzUAAAABwEA&#10;AA8AAAAAAAAAAQAgAAAAIgAAAGRycy9kb3ducmV2LnhtbFBLAQIUABQAAAAIAIdO4kDQf15ArAEA&#10;AE4DAAAOAAAAAAAAAAEAIAAAACMBAABkcnMvZTJvRG9jLnhtbFBLBQYAAAAABgAGAFkBAABBBQAA&#10;AAA=&#10;">
                      <v:fill on="f" focussize="0,0"/>
                      <v:stroke on="f"/>
                      <v:imagedata o:title=""/>
                      <o:lock v:ext="edit" aspectratio="f"/>
                      <v:textbox>
                        <w:txbxContent>
                          <w:p>
                            <w:pPr>
                              <w:numPr>
                                <w:ilvl w:val="0"/>
                                <w:numId w:val="5"/>
                              </w:numPr>
                              <w:spacing w:line="200" w:lineRule="exact"/>
                              <w:rPr>
                                <w:rFonts w:ascii="Arial" w:hAnsi="Arial" w:eastAsia="宋体" w:cs="Arial"/>
                                <w:sz w:val="20"/>
                                <w:szCs w:val="20"/>
                              </w:rPr>
                            </w:pPr>
                            <w:r>
                              <w:rPr>
                                <w:rFonts w:ascii="Arial" w:hAnsi="Arial" w:eastAsia="宋体" w:cs="Arial"/>
                                <w:sz w:val="20"/>
                                <w:szCs w:val="20"/>
                              </w:rPr>
                              <w:t>Outcome-</w:t>
                            </w:r>
                          </w:p>
                          <w:p>
                            <w:pPr>
                              <w:spacing w:line="200" w:lineRule="exact"/>
                              <w:rPr>
                                <w:rFonts w:ascii="宋体" w:hAnsi="宋体" w:eastAsia="宋体" w:cs="宋体"/>
                                <w:sz w:val="24"/>
                              </w:rPr>
                            </w:pPr>
                            <w:r>
                              <w:rPr>
                                <w:rFonts w:ascii="Arial" w:hAnsi="Arial" w:eastAsia="宋体" w:cs="Arial"/>
                                <w:sz w:val="20"/>
                                <w:szCs w:val="20"/>
                              </w:rPr>
                              <w:t xml:space="preserve">devaluation </w:t>
                            </w:r>
                            <w:r>
                              <w:rPr>
                                <w:rFonts w:hint="eastAsia" w:ascii="Arial" w:hAnsi="Arial" w:eastAsia="宋体" w:cs="Arial"/>
                                <w:sz w:val="20"/>
                                <w:szCs w:val="20"/>
                              </w:rPr>
                              <w:t>test</w:t>
                            </w:r>
                          </w:p>
                          <w:p/>
                        </w:txbxContent>
                      </v:textbox>
                    </v:shape>
                  </w:pict>
                </mc:Fallback>
              </mc:AlternateContent>
            </w:r>
          </w:p>
          <w:p w14:paraId="52947389" w14:textId="77777777" w:rsidR="004F64F1" w:rsidRDefault="009D3646">
            <w:pPr>
              <w:jc w:val="center"/>
              <w:rPr>
                <w:rFonts w:ascii="SimSun" w:eastAsia="SimSun" w:hAnsi="SimSun" w:cs="SimSun"/>
                <w:sz w:val="24"/>
              </w:rPr>
            </w:pPr>
            <w:r>
              <w:rPr>
                <w:noProof/>
                <w:sz w:val="24"/>
              </w:rPr>
              <mc:AlternateContent>
                <mc:Choice Requires="wps">
                  <w:drawing>
                    <wp:anchor distT="0" distB="0" distL="114300" distR="114300" simplePos="0" relativeHeight="251660288" behindDoc="0" locked="0" layoutInCell="1" allowOverlap="1" wp14:anchorId="40B385D1" wp14:editId="42218C0D">
                      <wp:simplePos x="0" y="0"/>
                      <wp:positionH relativeFrom="column">
                        <wp:posOffset>143510</wp:posOffset>
                      </wp:positionH>
                      <wp:positionV relativeFrom="paragraph">
                        <wp:posOffset>5795010</wp:posOffset>
                      </wp:positionV>
                      <wp:extent cx="1096010" cy="46291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96010" cy="462915"/>
                              </a:xfrm>
                              <a:prstGeom prst="rect">
                                <a:avLst/>
                              </a:prstGeom>
                              <a:noFill/>
                              <a:ln>
                                <a:noFill/>
                              </a:ln>
                            </wps:spPr>
                            <wps:txbx>
                              <w:txbxContent>
                                <w:p w14:paraId="6892718A" w14:textId="77777777" w:rsidR="004F64F1" w:rsidRDefault="009D3646">
                                  <w:pPr>
                                    <w:numPr>
                                      <w:ilvl w:val="0"/>
                                      <w:numId w:val="5"/>
                                    </w:numPr>
                                    <w:rPr>
                                      <w:rFonts w:ascii="Arial" w:eastAsia="SimSun" w:hAnsi="Arial" w:cs="Arial"/>
                                      <w:sz w:val="20"/>
                                      <w:szCs w:val="20"/>
                                    </w:rPr>
                                  </w:pPr>
                                  <w:r>
                                    <w:rPr>
                                      <w:rFonts w:ascii="Arial" w:eastAsia="SimSun" w:hAnsi="Arial" w:cs="Arial"/>
                                      <w:sz w:val="20"/>
                                      <w:szCs w:val="20"/>
                                    </w:rPr>
                                    <w:t>Outcome-</w:t>
                                  </w:r>
                                </w:p>
                                <w:p w14:paraId="551AAA54" w14:textId="77777777" w:rsidR="004F64F1" w:rsidRDefault="009D3646">
                                  <w:pPr>
                                    <w:rPr>
                                      <w:rFonts w:ascii="SimSun" w:eastAsia="SimSun" w:hAnsi="SimSun" w:cs="SimSun"/>
                                      <w:sz w:val="24"/>
                                    </w:rPr>
                                  </w:pPr>
                                  <w:r>
                                    <w:rPr>
                                      <w:rFonts w:ascii="Arial" w:eastAsia="SimSun" w:hAnsi="Arial" w:cs="Arial"/>
                                      <w:sz w:val="20"/>
                                      <w:szCs w:val="20"/>
                                    </w:rPr>
                                    <w:t xml:space="preserve">devaluation </w:t>
                                  </w:r>
                                  <w:r>
                                    <w:rPr>
                                      <w:rFonts w:ascii="Arial" w:eastAsia="SimSun" w:hAnsi="Arial" w:cs="Arial" w:hint="eastAsia"/>
                                      <w:sz w:val="20"/>
                                      <w:szCs w:val="20"/>
                                    </w:rPr>
                                    <w:t>test</w:t>
                                  </w:r>
                                </w:p>
                                <w:p w14:paraId="7B052CBB" w14:textId="77777777" w:rsidR="004F64F1" w:rsidRDefault="004F64F1"/>
                              </w:txbxContent>
                            </wps:txbx>
                            <wps:bodyPr upright="1"/>
                          </wps:wsp>
                        </a:graphicData>
                      </a:graphic>
                    </wp:anchor>
                  </w:drawing>
                </mc:Choice>
                <mc:Fallback xmlns:wpsCustomData="http://www.wps.cn/officeDocument/2013/wpsCustomData">
                  <w:pict>
                    <v:shape id="_x0000_s1026" o:spid="_x0000_s1026" o:spt="202" type="#_x0000_t202" style="position:absolute;left:0pt;margin-left:11.3pt;margin-top:456.3pt;height:36.45pt;width:86.3pt;z-index:251660288;mso-width-relative:page;mso-height-relative:page;" filled="f" stroked="f" coordsize="21600,21600" o:gfxdata="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q/QKNtYAAAAK&#10;AQAADwAAAAAAAAABACAAAAAiAAAAZHJzL2Rvd25yZXYueG1sUEsBAhQAFAAAAAgAh07iQLgIdH+s&#10;AQAATgMAAA4AAAAAAAAAAQAgAAAAJQEAAGRycy9lMm9Eb2MueG1sUEsFBgAAAAAGAAYAWQEAAEMF&#10;AAAAAA==&#10;">
                      <v:fill on="f" focussize="0,0"/>
                      <v:stroke on="f"/>
                      <v:imagedata o:title=""/>
                      <o:lock v:ext="edit" aspectratio="f"/>
                      <v:textbox>
                        <w:txbxContent>
                          <w:p>
                            <w:pPr>
                              <w:numPr>
                                <w:ilvl w:val="0"/>
                                <w:numId w:val="5"/>
                              </w:numPr>
                              <w:rPr>
                                <w:rFonts w:ascii="Arial" w:hAnsi="Arial" w:eastAsia="宋体" w:cs="Arial"/>
                                <w:sz w:val="20"/>
                                <w:szCs w:val="20"/>
                              </w:rPr>
                            </w:pPr>
                            <w:r>
                              <w:rPr>
                                <w:rFonts w:ascii="Arial" w:hAnsi="Arial" w:eastAsia="宋体" w:cs="Arial"/>
                                <w:sz w:val="20"/>
                                <w:szCs w:val="20"/>
                              </w:rPr>
                              <w:t>Outcome-</w:t>
                            </w:r>
                          </w:p>
                          <w:p>
                            <w:pPr>
                              <w:rPr>
                                <w:rFonts w:ascii="宋体" w:hAnsi="宋体" w:eastAsia="宋体" w:cs="宋体"/>
                                <w:sz w:val="24"/>
                              </w:rPr>
                            </w:pPr>
                            <w:r>
                              <w:rPr>
                                <w:rFonts w:ascii="Arial" w:hAnsi="Arial" w:eastAsia="宋体" w:cs="Arial"/>
                                <w:sz w:val="20"/>
                                <w:szCs w:val="20"/>
                              </w:rPr>
                              <w:t xml:space="preserve">devaluation </w:t>
                            </w:r>
                            <w:r>
                              <w:rPr>
                                <w:rFonts w:hint="eastAsia" w:ascii="Arial" w:hAnsi="Arial" w:eastAsia="宋体" w:cs="Arial"/>
                                <w:sz w:val="20"/>
                                <w:szCs w:val="20"/>
                              </w:rPr>
                              <w:t>test</w:t>
                            </w:r>
                          </w:p>
                          <w:p/>
                        </w:txbxContent>
                      </v:textbox>
                    </v:shape>
                  </w:pict>
                </mc:Fallback>
              </mc:AlternateContent>
            </w:r>
          </w:p>
          <w:p w14:paraId="2421261F" w14:textId="77777777" w:rsidR="004F64F1" w:rsidRDefault="009D3646">
            <w:pPr>
              <w:jc w:val="center"/>
              <w:rPr>
                <w:rFonts w:ascii="SimSun" w:eastAsia="SimSun" w:hAnsi="SimSun" w:cs="SimSun"/>
                <w:sz w:val="24"/>
              </w:rPr>
            </w:pPr>
            <w:r>
              <w:rPr>
                <w:rFonts w:ascii="SimSun" w:eastAsia="SimSun" w:hAnsi="SimSun" w:cs="SimSun"/>
                <w:sz w:val="24"/>
              </w:rPr>
              <w:fldChar w:fldCharType="begin"/>
            </w:r>
            <w:r>
              <w:rPr>
                <w:rFonts w:ascii="SimSun" w:eastAsia="SimSun" w:hAnsi="SimSun" w:cs="SimSun"/>
                <w:sz w:val="24"/>
              </w:rPr>
              <w:instrText xml:space="preserve">INCLUDEPICTURE \d "https://ajp.psychiatryonline.org/cms/10.1176/appi.ajp.2011.10071062/asset/images/large/appi.ajp.2011.718a.jpeg" \* MERGEFORMATINET </w:instrText>
            </w:r>
            <w:r>
              <w:rPr>
                <w:rFonts w:ascii="SimSun" w:eastAsia="SimSun" w:hAnsi="SimSun" w:cs="SimSun"/>
                <w:sz w:val="24"/>
              </w:rPr>
              <w:fldChar w:fldCharType="separate"/>
            </w:r>
            <w:r>
              <w:rPr>
                <w:rFonts w:ascii="SimSun" w:eastAsia="SimSun" w:hAnsi="SimSun" w:cs="SimSun"/>
                <w:noProof/>
                <w:sz w:val="24"/>
              </w:rPr>
              <w:drawing>
                <wp:inline distT="0" distB="0" distL="114300" distR="114300" wp14:anchorId="1C06A27F" wp14:editId="45949876">
                  <wp:extent cx="772795" cy="922655"/>
                  <wp:effectExtent l="0" t="0" r="4445" b="6985"/>
                  <wp:docPr id="4"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56"/>
                          <pic:cNvPicPr>
                            <a:picLocks noChangeAspect="1"/>
                          </pic:cNvPicPr>
                        </pic:nvPicPr>
                        <pic:blipFill>
                          <a:blip r:embed="rId11"/>
                          <a:srcRect l="42169" t="62959" r="41875"/>
                          <a:stretch>
                            <a:fillRect/>
                          </a:stretch>
                        </pic:blipFill>
                        <pic:spPr>
                          <a:xfrm>
                            <a:off x="0" y="0"/>
                            <a:ext cx="772795" cy="922655"/>
                          </a:xfrm>
                          <a:prstGeom prst="rect">
                            <a:avLst/>
                          </a:prstGeom>
                          <a:noFill/>
                          <a:ln>
                            <a:noFill/>
                          </a:ln>
                        </pic:spPr>
                      </pic:pic>
                    </a:graphicData>
                  </a:graphic>
                </wp:inline>
              </w:drawing>
            </w:r>
            <w:r>
              <w:rPr>
                <w:rFonts w:ascii="SimSun" w:eastAsia="SimSun" w:hAnsi="SimSun" w:cs="SimSun"/>
                <w:sz w:val="24"/>
              </w:rPr>
              <w:fldChar w:fldCharType="end"/>
            </w:r>
            <w:r>
              <w:rPr>
                <w:rFonts w:ascii="SimSun" w:eastAsia="SimSun" w:hAnsi="SimSun" w:cs="SimSun" w:hint="eastAsia"/>
                <w:sz w:val="24"/>
              </w:rPr>
              <w:t xml:space="preserve">    </w:t>
            </w:r>
            <w:r>
              <w:rPr>
                <w:rFonts w:ascii="SimSun" w:eastAsia="SimSun" w:hAnsi="SimSun" w:cs="SimSun"/>
                <w:sz w:val="24"/>
              </w:rPr>
              <w:fldChar w:fldCharType="begin"/>
            </w:r>
            <w:r>
              <w:rPr>
                <w:rFonts w:ascii="SimSun" w:eastAsia="SimSun" w:hAnsi="SimSun" w:cs="SimSun"/>
                <w:sz w:val="24"/>
              </w:rPr>
              <w:instrText>INCLUDEPICTURE \d "https://ajp.psychiatryonline.</w:instrText>
            </w:r>
            <w:r>
              <w:rPr>
                <w:rFonts w:ascii="SimSun" w:eastAsia="SimSun" w:hAnsi="SimSun" w:cs="SimSun"/>
                <w:sz w:val="24"/>
              </w:rPr>
              <w:instrText xml:space="preserve">org/cms/10.1176/appi.ajp.2011.10071062/asset/images/large/appi.ajp.2011.718a.jpeg" \* MERGEFORMATINET </w:instrText>
            </w:r>
            <w:r>
              <w:rPr>
                <w:rFonts w:ascii="SimSun" w:eastAsia="SimSun" w:hAnsi="SimSun" w:cs="SimSun"/>
                <w:sz w:val="24"/>
              </w:rPr>
              <w:fldChar w:fldCharType="separate"/>
            </w:r>
            <w:r>
              <w:rPr>
                <w:rFonts w:ascii="SimSun" w:eastAsia="SimSun" w:hAnsi="SimSun" w:cs="SimSun"/>
                <w:noProof/>
                <w:sz w:val="24"/>
              </w:rPr>
              <w:drawing>
                <wp:inline distT="0" distB="0" distL="114300" distR="114300" wp14:anchorId="70A9B4CA" wp14:editId="3989A5FD">
                  <wp:extent cx="1969770" cy="922655"/>
                  <wp:effectExtent l="0" t="0" r="11430" b="6985"/>
                  <wp:docPr id="5"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IMG_256"/>
                          <pic:cNvPicPr>
                            <a:picLocks noChangeAspect="1"/>
                          </pic:cNvPicPr>
                        </pic:nvPicPr>
                        <pic:blipFill>
                          <a:blip r:embed="rId11"/>
                          <a:srcRect l="59331" t="62959"/>
                          <a:stretch>
                            <a:fillRect/>
                          </a:stretch>
                        </pic:blipFill>
                        <pic:spPr>
                          <a:xfrm>
                            <a:off x="0" y="0"/>
                            <a:ext cx="1969770" cy="922655"/>
                          </a:xfrm>
                          <a:prstGeom prst="rect">
                            <a:avLst/>
                          </a:prstGeom>
                          <a:noFill/>
                          <a:ln>
                            <a:noFill/>
                          </a:ln>
                        </pic:spPr>
                      </pic:pic>
                    </a:graphicData>
                  </a:graphic>
                </wp:inline>
              </w:drawing>
            </w:r>
            <w:r>
              <w:rPr>
                <w:rFonts w:ascii="SimSun" w:eastAsia="SimSun" w:hAnsi="SimSun" w:cs="SimSun"/>
                <w:sz w:val="24"/>
              </w:rPr>
              <w:fldChar w:fldCharType="end"/>
            </w:r>
          </w:p>
        </w:tc>
      </w:tr>
    </w:tbl>
    <w:p w14:paraId="34981276" w14:textId="77777777" w:rsidR="004F64F1" w:rsidRDefault="004F64F1">
      <w:pPr>
        <w:spacing w:line="480" w:lineRule="auto"/>
        <w:rPr>
          <w:rFonts w:ascii="Times New Roman" w:hAnsi="Times New Roman" w:cs="Times New Roman"/>
          <w:sz w:val="24"/>
        </w:rPr>
      </w:pPr>
    </w:p>
    <w:p w14:paraId="49091661" w14:textId="77777777" w:rsidR="004F64F1" w:rsidRDefault="009D3646">
      <w:pPr>
        <w:spacing w:line="480" w:lineRule="auto"/>
        <w:rPr>
          <w:rFonts w:ascii="Times New Roman" w:hAnsi="Times New Roman" w:cs="Times New Roman"/>
          <w:b/>
          <w:bCs/>
          <w:sz w:val="24"/>
        </w:rPr>
      </w:pPr>
      <w:r>
        <w:rPr>
          <w:rFonts w:ascii="Times New Roman" w:hAnsi="Times New Roman" w:cs="Times New Roman" w:hint="eastAsia"/>
          <w:b/>
          <w:bCs/>
          <w:sz w:val="24"/>
        </w:rPr>
        <w:lastRenderedPageBreak/>
        <w:t>R</w:t>
      </w:r>
      <w:r>
        <w:rPr>
          <w:rFonts w:ascii="Times New Roman" w:hAnsi="Times New Roman" w:cs="Times New Roman"/>
          <w:b/>
          <w:bCs/>
          <w:sz w:val="24"/>
        </w:rPr>
        <w:t>eferences</w:t>
      </w:r>
    </w:p>
    <w:p w14:paraId="7CAC5516" w14:textId="77777777" w:rsidR="004F64F1" w:rsidRDefault="009D3646">
      <w:pPr>
        <w:autoSpaceDE w:val="0"/>
        <w:autoSpaceDN w:val="0"/>
        <w:adjustRightInd w:val="0"/>
        <w:spacing w:line="480" w:lineRule="auto"/>
        <w:ind w:left="640" w:hanging="640"/>
        <w:jc w:val="left"/>
        <w:rPr>
          <w:rFonts w:ascii="Times New Roman" w:hAnsi="Times New Roman" w:cs="Times New Roman"/>
          <w:kern w:val="0"/>
          <w:sz w:val="24"/>
        </w:rPr>
      </w:pPr>
      <w:r>
        <w:rPr>
          <w:rFonts w:ascii="Times New Roman" w:hAnsi="Times New Roman" w:cs="Times New Roman"/>
          <w:sz w:val="24"/>
        </w:rPr>
        <w:fldChar w:fldCharType="begin" w:fldLock="1"/>
      </w:r>
      <w:r>
        <w:rPr>
          <w:rFonts w:ascii="Times New Roman" w:hAnsi="Times New Roman" w:cs="Times New Roman"/>
          <w:sz w:val="24"/>
        </w:rPr>
        <w:instrText xml:space="preserve">ADDIN Mendeley Bibliography CSL_BIBLIOGRAPHY </w:instrText>
      </w:r>
      <w:r>
        <w:rPr>
          <w:rFonts w:ascii="Times New Roman" w:hAnsi="Times New Roman" w:cs="Times New Roman"/>
          <w:sz w:val="24"/>
        </w:rPr>
        <w:fldChar w:fldCharType="separate"/>
      </w:r>
      <w:r>
        <w:rPr>
          <w:rFonts w:ascii="Times New Roman" w:hAnsi="Times New Roman" w:cs="Times New Roman"/>
          <w:kern w:val="0"/>
          <w:sz w:val="24"/>
        </w:rPr>
        <w:t xml:space="preserve">1 </w:t>
      </w:r>
      <w:r>
        <w:rPr>
          <w:rFonts w:ascii="Times New Roman" w:hAnsi="Times New Roman" w:cs="Times New Roman"/>
          <w:kern w:val="0"/>
          <w:sz w:val="24"/>
        </w:rPr>
        <w:tab/>
      </w:r>
      <w:r>
        <w:rPr>
          <w:rFonts w:ascii="Times New Roman" w:hAnsi="Times New Roman" w:cs="Times New Roman"/>
          <w:kern w:val="0"/>
          <w:sz w:val="24"/>
        </w:rPr>
        <w:t xml:space="preserve">den Ouden HEM, Daw ND, Fernandez G, Elshout JA, Rijpkema M, Hoogman M </w:t>
      </w:r>
      <w:r>
        <w:rPr>
          <w:rFonts w:ascii="Times New Roman" w:hAnsi="Times New Roman" w:cs="Times New Roman"/>
          <w:i/>
          <w:iCs/>
          <w:kern w:val="0"/>
          <w:sz w:val="24"/>
        </w:rPr>
        <w:t>et al.</w:t>
      </w:r>
      <w:r>
        <w:rPr>
          <w:rFonts w:ascii="Times New Roman" w:hAnsi="Times New Roman" w:cs="Times New Roman"/>
          <w:kern w:val="0"/>
          <w:sz w:val="24"/>
        </w:rPr>
        <w:t xml:space="preserve"> Dissociable effects of dopamine and serotonin on reversal learning. </w:t>
      </w:r>
      <w:r>
        <w:rPr>
          <w:rFonts w:ascii="Times New Roman" w:hAnsi="Times New Roman" w:cs="Times New Roman"/>
          <w:i/>
          <w:iCs/>
          <w:kern w:val="0"/>
          <w:sz w:val="24"/>
        </w:rPr>
        <w:t>Neuron</w:t>
      </w:r>
      <w:r>
        <w:rPr>
          <w:rFonts w:ascii="Times New Roman" w:hAnsi="Times New Roman" w:cs="Times New Roman"/>
          <w:kern w:val="0"/>
          <w:sz w:val="24"/>
        </w:rPr>
        <w:t xml:space="preserve"> 2013; </w:t>
      </w:r>
      <w:r>
        <w:rPr>
          <w:rFonts w:ascii="Times New Roman" w:hAnsi="Times New Roman" w:cs="Times New Roman"/>
          <w:b/>
          <w:bCs/>
          <w:kern w:val="0"/>
          <w:sz w:val="24"/>
        </w:rPr>
        <w:t>80</w:t>
      </w:r>
      <w:r>
        <w:rPr>
          <w:rFonts w:ascii="Times New Roman" w:hAnsi="Times New Roman" w:cs="Times New Roman"/>
          <w:kern w:val="0"/>
          <w:sz w:val="24"/>
        </w:rPr>
        <w:t>: 1090–1100.</w:t>
      </w:r>
    </w:p>
    <w:p w14:paraId="7A4922A0" w14:textId="77777777" w:rsidR="004F64F1" w:rsidRDefault="009D3646">
      <w:pPr>
        <w:autoSpaceDE w:val="0"/>
        <w:autoSpaceDN w:val="0"/>
        <w:adjustRightInd w:val="0"/>
        <w:spacing w:line="480" w:lineRule="auto"/>
        <w:ind w:left="640" w:hanging="640"/>
        <w:jc w:val="left"/>
        <w:rPr>
          <w:rFonts w:ascii="Times New Roman" w:hAnsi="Times New Roman" w:cs="Times New Roman"/>
          <w:kern w:val="0"/>
          <w:sz w:val="24"/>
        </w:rPr>
      </w:pPr>
      <w:r>
        <w:rPr>
          <w:rFonts w:ascii="Times New Roman" w:hAnsi="Times New Roman" w:cs="Times New Roman"/>
          <w:kern w:val="0"/>
          <w:sz w:val="24"/>
        </w:rPr>
        <w:t xml:space="preserve">2 </w:t>
      </w:r>
      <w:r>
        <w:rPr>
          <w:rFonts w:ascii="Times New Roman" w:hAnsi="Times New Roman" w:cs="Times New Roman"/>
          <w:kern w:val="0"/>
          <w:sz w:val="24"/>
        </w:rPr>
        <w:tab/>
        <w:t>Nyhus E, Barceló F. The Wisconsin Card Sorting Test and the cognitive assessment</w:t>
      </w:r>
      <w:r>
        <w:rPr>
          <w:rFonts w:ascii="Times New Roman" w:hAnsi="Times New Roman" w:cs="Times New Roman"/>
          <w:kern w:val="0"/>
          <w:sz w:val="24"/>
        </w:rPr>
        <w:t xml:space="preserve"> of prefrontal</w:t>
      </w:r>
      <w:r>
        <w:rPr>
          <w:rFonts w:ascii="Times New Roman" w:hAnsi="Times New Roman" w:cs="Times New Roman" w:hint="eastAsia"/>
          <w:kern w:val="0"/>
          <w:sz w:val="24"/>
        </w:rPr>
        <w:t xml:space="preserve"> </w:t>
      </w:r>
      <w:r>
        <w:rPr>
          <w:rFonts w:ascii="Times New Roman" w:hAnsi="Times New Roman" w:cs="Times New Roman"/>
          <w:kern w:val="0"/>
          <w:sz w:val="24"/>
        </w:rPr>
        <w:t xml:space="preserve">executive functions: a critical update. </w:t>
      </w:r>
      <w:r>
        <w:rPr>
          <w:rFonts w:ascii="Times New Roman" w:hAnsi="Times New Roman" w:cs="Times New Roman"/>
          <w:i/>
          <w:iCs/>
          <w:kern w:val="0"/>
          <w:sz w:val="24"/>
        </w:rPr>
        <w:t>Brain Cogn</w:t>
      </w:r>
      <w:r>
        <w:rPr>
          <w:rFonts w:ascii="Times New Roman" w:hAnsi="Times New Roman" w:cs="Times New Roman"/>
          <w:kern w:val="0"/>
          <w:sz w:val="24"/>
        </w:rPr>
        <w:t xml:space="preserve"> 2009; </w:t>
      </w:r>
      <w:r>
        <w:rPr>
          <w:rFonts w:ascii="Times New Roman" w:hAnsi="Times New Roman" w:cs="Times New Roman"/>
          <w:b/>
          <w:bCs/>
          <w:kern w:val="0"/>
          <w:sz w:val="24"/>
        </w:rPr>
        <w:t>71</w:t>
      </w:r>
      <w:r>
        <w:rPr>
          <w:rFonts w:ascii="Times New Roman" w:hAnsi="Times New Roman" w:cs="Times New Roman"/>
          <w:kern w:val="0"/>
          <w:sz w:val="24"/>
        </w:rPr>
        <w:t>: 437–451.</w:t>
      </w:r>
    </w:p>
    <w:p w14:paraId="62C25B38" w14:textId="77777777" w:rsidR="004F64F1" w:rsidRDefault="009D3646">
      <w:pPr>
        <w:autoSpaceDE w:val="0"/>
        <w:autoSpaceDN w:val="0"/>
        <w:adjustRightInd w:val="0"/>
        <w:spacing w:line="480" w:lineRule="auto"/>
        <w:ind w:left="640" w:hanging="640"/>
        <w:jc w:val="left"/>
        <w:rPr>
          <w:rFonts w:ascii="Times New Roman" w:hAnsi="Times New Roman" w:cs="Times New Roman"/>
          <w:kern w:val="0"/>
          <w:sz w:val="24"/>
        </w:rPr>
      </w:pPr>
      <w:r>
        <w:rPr>
          <w:rFonts w:ascii="Times New Roman" w:hAnsi="Times New Roman" w:cs="Times New Roman"/>
          <w:kern w:val="0"/>
          <w:sz w:val="24"/>
        </w:rPr>
        <w:t xml:space="preserve">3 </w:t>
      </w:r>
      <w:r>
        <w:rPr>
          <w:rFonts w:ascii="Times New Roman" w:hAnsi="Times New Roman" w:cs="Times New Roman"/>
          <w:kern w:val="0"/>
          <w:sz w:val="24"/>
        </w:rPr>
        <w:tab/>
        <w:t xml:space="preserve">Nikolaidou M, Fraser DS, Hinvest N. Attentional bias in Internet users with problematic use of social networking sites. </w:t>
      </w:r>
      <w:r>
        <w:rPr>
          <w:rFonts w:ascii="Times New Roman" w:hAnsi="Times New Roman" w:cs="Times New Roman"/>
          <w:i/>
          <w:iCs/>
          <w:kern w:val="0"/>
          <w:sz w:val="24"/>
        </w:rPr>
        <w:t>J</w:t>
      </w:r>
      <w:r>
        <w:rPr>
          <w:rFonts w:ascii="Times New Roman" w:hAnsi="Times New Roman" w:cs="Times New Roman"/>
          <w:i/>
          <w:iCs/>
          <w:kern w:val="0"/>
          <w:sz w:val="24"/>
        </w:rPr>
        <w:t>ournal of Behavioral Addictions</w:t>
      </w:r>
      <w:r>
        <w:rPr>
          <w:rFonts w:ascii="Times New Roman" w:hAnsi="Times New Roman" w:cs="Times New Roman" w:hint="eastAsia"/>
          <w:i/>
          <w:iCs/>
          <w:kern w:val="0"/>
          <w:sz w:val="24"/>
        </w:rPr>
        <w:t xml:space="preserve">, </w:t>
      </w:r>
      <w:r>
        <w:rPr>
          <w:rFonts w:ascii="Times New Roman" w:hAnsi="Times New Roman" w:cs="Times New Roman"/>
          <w:kern w:val="0"/>
          <w:sz w:val="24"/>
        </w:rPr>
        <w:t xml:space="preserve">2019; </w:t>
      </w:r>
      <w:r>
        <w:rPr>
          <w:rFonts w:ascii="Times New Roman" w:hAnsi="Times New Roman" w:cs="Times New Roman"/>
          <w:b/>
          <w:bCs/>
          <w:kern w:val="0"/>
          <w:sz w:val="24"/>
        </w:rPr>
        <w:t>8</w:t>
      </w:r>
      <w:r>
        <w:rPr>
          <w:rFonts w:ascii="Times New Roman" w:hAnsi="Times New Roman" w:cs="Times New Roman"/>
          <w:kern w:val="0"/>
          <w:sz w:val="24"/>
        </w:rPr>
        <w:t>: 733–7</w:t>
      </w:r>
      <w:r>
        <w:rPr>
          <w:rFonts w:ascii="Times New Roman" w:hAnsi="Times New Roman" w:cs="Times New Roman"/>
          <w:kern w:val="0"/>
          <w:sz w:val="24"/>
        </w:rPr>
        <w:t>42.</w:t>
      </w:r>
    </w:p>
    <w:p w14:paraId="5532605D" w14:textId="77777777" w:rsidR="004F64F1" w:rsidRDefault="009D3646">
      <w:pPr>
        <w:autoSpaceDE w:val="0"/>
        <w:autoSpaceDN w:val="0"/>
        <w:adjustRightInd w:val="0"/>
        <w:spacing w:line="480" w:lineRule="auto"/>
        <w:ind w:left="640" w:hanging="640"/>
        <w:jc w:val="left"/>
        <w:rPr>
          <w:rFonts w:ascii="Times New Roman" w:hAnsi="Times New Roman" w:cs="Times New Roman"/>
          <w:sz w:val="24"/>
        </w:rPr>
      </w:pPr>
      <w:r>
        <w:rPr>
          <w:rFonts w:ascii="Times New Roman" w:hAnsi="Times New Roman" w:cs="Times New Roman"/>
          <w:kern w:val="0"/>
          <w:sz w:val="24"/>
        </w:rPr>
        <w:t xml:space="preserve">4 </w:t>
      </w:r>
      <w:r>
        <w:rPr>
          <w:rFonts w:ascii="Times New Roman" w:hAnsi="Times New Roman" w:cs="Times New Roman"/>
          <w:kern w:val="0"/>
          <w:sz w:val="24"/>
        </w:rPr>
        <w:tab/>
        <w:t xml:space="preserve">Gillan CM, Papmeyer M, Morein-Zamir S, Sahakian BJ, Fineberg NA, Robbins TW </w:t>
      </w:r>
      <w:r>
        <w:rPr>
          <w:rFonts w:ascii="Times New Roman" w:hAnsi="Times New Roman" w:cs="Times New Roman"/>
          <w:i/>
          <w:iCs/>
          <w:kern w:val="0"/>
          <w:sz w:val="24"/>
        </w:rPr>
        <w:t>et al.</w:t>
      </w:r>
      <w:r>
        <w:rPr>
          <w:rFonts w:ascii="Times New Roman" w:hAnsi="Times New Roman" w:cs="Times New Roman"/>
          <w:kern w:val="0"/>
          <w:sz w:val="24"/>
        </w:rPr>
        <w:t xml:space="preserve"> Disruption in the balance between goal-directed behavior and habit learning in  obsessive-compulsive disorder. </w:t>
      </w:r>
      <w:r>
        <w:rPr>
          <w:rFonts w:ascii="Times New Roman" w:hAnsi="Times New Roman" w:cs="Times New Roman"/>
          <w:i/>
          <w:iCs/>
          <w:kern w:val="0"/>
          <w:sz w:val="24"/>
        </w:rPr>
        <w:t>Am</w:t>
      </w:r>
      <w:r>
        <w:rPr>
          <w:rFonts w:ascii="Times New Roman" w:hAnsi="Times New Roman" w:cs="Times New Roman" w:hint="eastAsia"/>
          <w:i/>
          <w:iCs/>
          <w:kern w:val="0"/>
          <w:sz w:val="24"/>
        </w:rPr>
        <w:t>erican</w:t>
      </w:r>
      <w:r>
        <w:rPr>
          <w:rFonts w:ascii="Times New Roman" w:hAnsi="Times New Roman" w:cs="Times New Roman"/>
          <w:i/>
          <w:iCs/>
          <w:kern w:val="0"/>
          <w:sz w:val="24"/>
        </w:rPr>
        <w:t xml:space="preserve"> J</w:t>
      </w:r>
      <w:r>
        <w:rPr>
          <w:rFonts w:ascii="Times New Roman" w:hAnsi="Times New Roman" w:cs="Times New Roman" w:hint="eastAsia"/>
          <w:i/>
          <w:iCs/>
          <w:kern w:val="0"/>
          <w:sz w:val="24"/>
        </w:rPr>
        <w:t>ournal of</w:t>
      </w:r>
      <w:r>
        <w:rPr>
          <w:rFonts w:ascii="Times New Roman" w:hAnsi="Times New Roman" w:cs="Times New Roman"/>
          <w:i/>
          <w:iCs/>
          <w:kern w:val="0"/>
          <w:sz w:val="24"/>
        </w:rPr>
        <w:t xml:space="preserve"> Psychiatry</w:t>
      </w:r>
      <w:r>
        <w:rPr>
          <w:rFonts w:ascii="Times New Roman" w:hAnsi="Times New Roman" w:cs="Times New Roman" w:hint="eastAsia"/>
          <w:i/>
          <w:iCs/>
          <w:kern w:val="0"/>
          <w:sz w:val="24"/>
        </w:rPr>
        <w:t>,</w:t>
      </w:r>
      <w:r>
        <w:rPr>
          <w:rFonts w:ascii="Times New Roman" w:hAnsi="Times New Roman" w:cs="Times New Roman"/>
          <w:kern w:val="0"/>
          <w:sz w:val="24"/>
        </w:rPr>
        <w:t xml:space="preserve"> 2011; </w:t>
      </w:r>
      <w:r>
        <w:rPr>
          <w:rFonts w:ascii="Times New Roman" w:hAnsi="Times New Roman" w:cs="Times New Roman"/>
          <w:b/>
          <w:bCs/>
          <w:kern w:val="0"/>
          <w:sz w:val="24"/>
        </w:rPr>
        <w:t>168</w:t>
      </w:r>
      <w:r>
        <w:rPr>
          <w:rFonts w:ascii="Times New Roman" w:hAnsi="Times New Roman" w:cs="Times New Roman"/>
          <w:kern w:val="0"/>
          <w:sz w:val="24"/>
        </w:rPr>
        <w:t xml:space="preserve">: </w:t>
      </w:r>
      <w:r>
        <w:rPr>
          <w:rFonts w:ascii="Times New Roman" w:hAnsi="Times New Roman" w:cs="Times New Roman"/>
          <w:kern w:val="0"/>
          <w:sz w:val="24"/>
        </w:rPr>
        <w:t>718–726.</w:t>
      </w:r>
    </w:p>
    <w:p w14:paraId="08A7B4A4" w14:textId="77777777" w:rsidR="004F64F1" w:rsidRDefault="009D3646">
      <w:pPr>
        <w:spacing w:line="480" w:lineRule="auto"/>
        <w:rPr>
          <w:rFonts w:ascii="Times New Roman" w:hAnsi="Times New Roman" w:cs="Times New Roman"/>
          <w:sz w:val="22"/>
          <w:szCs w:val="28"/>
        </w:rPr>
      </w:pPr>
      <w:r>
        <w:rPr>
          <w:rFonts w:ascii="Times New Roman" w:hAnsi="Times New Roman" w:cs="Times New Roman"/>
          <w:sz w:val="24"/>
        </w:rPr>
        <w:fldChar w:fldCharType="end"/>
      </w:r>
    </w:p>
    <w:sectPr w:rsidR="004F64F1" w:rsidSect="009D3646">
      <w:pgSz w:w="16838" w:h="11906" w:orient="landscape"/>
      <w:pgMar w:top="1797" w:right="1440" w:bottom="1797"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B448BF"/>
    <w:multiLevelType w:val="singleLevel"/>
    <w:tmpl w:val="98B448BF"/>
    <w:lvl w:ilvl="0">
      <w:start w:val="2"/>
      <w:numFmt w:val="upperLetter"/>
      <w:suff w:val="space"/>
      <w:lvlText w:val="%1."/>
      <w:lvlJc w:val="left"/>
    </w:lvl>
  </w:abstractNum>
  <w:abstractNum w:abstractNumId="1" w15:restartNumberingAfterBreak="0">
    <w:nsid w:val="B69CC1A5"/>
    <w:multiLevelType w:val="singleLevel"/>
    <w:tmpl w:val="B69CC1A5"/>
    <w:lvl w:ilvl="0">
      <w:start w:val="3"/>
      <w:numFmt w:val="upperLetter"/>
      <w:suff w:val="space"/>
      <w:lvlText w:val="%1."/>
      <w:lvlJc w:val="left"/>
    </w:lvl>
  </w:abstractNum>
  <w:abstractNum w:abstractNumId="2" w15:restartNumberingAfterBreak="0">
    <w:nsid w:val="D996227B"/>
    <w:multiLevelType w:val="singleLevel"/>
    <w:tmpl w:val="D996227B"/>
    <w:lvl w:ilvl="0">
      <w:start w:val="4"/>
      <w:numFmt w:val="upperLetter"/>
      <w:suff w:val="space"/>
      <w:lvlText w:val="%1."/>
      <w:lvlJc w:val="left"/>
    </w:lvl>
  </w:abstractNum>
  <w:abstractNum w:abstractNumId="3" w15:restartNumberingAfterBreak="0">
    <w:nsid w:val="E7047ABC"/>
    <w:multiLevelType w:val="singleLevel"/>
    <w:tmpl w:val="E7047ABC"/>
    <w:lvl w:ilvl="0">
      <w:start w:val="2"/>
      <w:numFmt w:val="upperLetter"/>
      <w:lvlText w:val="%1."/>
      <w:lvlJc w:val="left"/>
      <w:pPr>
        <w:tabs>
          <w:tab w:val="left" w:pos="312"/>
        </w:tabs>
      </w:pPr>
    </w:lvl>
  </w:abstractNum>
  <w:abstractNum w:abstractNumId="4" w15:restartNumberingAfterBreak="0">
    <w:nsid w:val="F334C63B"/>
    <w:multiLevelType w:val="singleLevel"/>
    <w:tmpl w:val="F334C63B"/>
    <w:lvl w:ilvl="0">
      <w:start w:val="1"/>
      <w:numFmt w:val="upperLetter"/>
      <w:suff w:val="space"/>
      <w:lvlText w:val="%1."/>
      <w:lvlJc w:val="left"/>
    </w:lvl>
  </w:abstractNum>
  <w:num w:numId="1" w16cid:durableId="1111052650">
    <w:abstractNumId w:val="0"/>
  </w:num>
  <w:num w:numId="2" w16cid:durableId="1421096722">
    <w:abstractNumId w:val="2"/>
  </w:num>
  <w:num w:numId="3" w16cid:durableId="1827161260">
    <w:abstractNumId w:val="4"/>
  </w:num>
  <w:num w:numId="4" w16cid:durableId="321813497">
    <w:abstractNumId w:val="1"/>
  </w:num>
  <w:num w:numId="5" w16cid:durableId="1789278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hyphenationZone w:val="425"/>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IyMzNlNmUxYTNlMmU3MDFlNmI5YTk0YTY5YzY2ZWIifQ=="/>
  </w:docVars>
  <w:rsids>
    <w:rsidRoot w:val="00972BFE"/>
    <w:rsid w:val="00291BC4"/>
    <w:rsid w:val="00391C29"/>
    <w:rsid w:val="004F64F1"/>
    <w:rsid w:val="00662EBB"/>
    <w:rsid w:val="00762A62"/>
    <w:rsid w:val="007F4DEB"/>
    <w:rsid w:val="008D0139"/>
    <w:rsid w:val="00972BFE"/>
    <w:rsid w:val="009D3646"/>
    <w:rsid w:val="00DA0ADF"/>
    <w:rsid w:val="00E86D1C"/>
    <w:rsid w:val="00EA3254"/>
    <w:rsid w:val="00F924B0"/>
    <w:rsid w:val="0A554BE2"/>
    <w:rsid w:val="1A626600"/>
    <w:rsid w:val="22C84606"/>
    <w:rsid w:val="2BC4443D"/>
    <w:rsid w:val="363C4DDE"/>
    <w:rsid w:val="52176500"/>
    <w:rsid w:val="63122749"/>
    <w:rsid w:val="74E86E40"/>
    <w:rsid w:val="753E3965"/>
    <w:rsid w:val="77971D0E"/>
    <w:rsid w:val="7AB815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4DC5935"/>
  <w15:docId w15:val="{21E0BE5D-38E6-4C3B-AD29-5192D277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lin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autoRedefine/>
    <w:qFormat/>
    <w:pPr>
      <w:widowControl w:val="0"/>
      <w:jc w:val="both"/>
    </w:pPr>
    <w:rPr>
      <w:rFonts w:asciiTheme="minorHAnsi" w:eastAsiaTheme="minorEastAsia" w:hAnsiTheme="minorHAnsi" w:cstheme="minorBidi"/>
      <w:kern w:val="2"/>
      <w:sz w:val="21"/>
      <w:szCs w:val="24"/>
      <w:lang w:val="en-US" w:eastAsia="zh-CN"/>
    </w:rPr>
  </w:style>
  <w:style w:type="paragraph" w:styleId="Cmsor3">
    <w:name w:val="heading 3"/>
    <w:basedOn w:val="Norml"/>
    <w:next w:val="Norm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uiPriority w:val="99"/>
    <w:unhideWhenUsed/>
    <w:qFormat/>
    <w:pPr>
      <w:tabs>
        <w:tab w:val="center" w:pos="4153"/>
        <w:tab w:val="right" w:pos="8306"/>
      </w:tabs>
      <w:snapToGrid w:val="0"/>
      <w:jc w:val="left"/>
    </w:pPr>
    <w:rPr>
      <w:sz w:val="18"/>
      <w:szCs w:val="18"/>
    </w:rPr>
  </w:style>
  <w:style w:type="table" w:styleId="Rcsostblzat">
    <w:name w:val="Table Grid"/>
    <w:basedOn w:val="Normltblzat"/>
    <w:autoRedefine/>
    <w:qFormat/>
    <w:pPr>
      <w:widowControl w:val="0"/>
      <w:jc w:val="both"/>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orszma">
    <w:name w:val="line number"/>
    <w:basedOn w:val="Bekezdsalapbettpusa"/>
    <w:autoRedefine/>
    <w:qFormat/>
  </w:style>
  <w:style w:type="character" w:styleId="Hiperhivatkozs">
    <w:name w:val="Hyperlink"/>
    <w:basedOn w:val="Bekezdsalapbettpusa"/>
    <w:rPr>
      <w:color w:val="0000FF"/>
      <w:u w:val="single"/>
    </w:rPr>
  </w:style>
  <w:style w:type="paragraph" w:customStyle="1" w:styleId="Vltozat1">
    <w:name w:val="Változat1"/>
    <w:autoRedefine/>
    <w:hidden/>
    <w:uiPriority w:val="99"/>
    <w:unhideWhenUsed/>
    <w:qFormat/>
    <w:rPr>
      <w:rFonts w:asciiTheme="minorHAnsi" w:eastAsiaTheme="minorEastAsia" w:hAnsiTheme="minorHAnsi" w:cstheme="minorBidi"/>
      <w:kern w:val="2"/>
      <w:sz w:val="21"/>
      <w:szCs w:val="24"/>
      <w:lang w:val="en-US" w:eastAsia="zh-CN"/>
    </w:rPr>
  </w:style>
  <w:style w:type="paragraph" w:customStyle="1" w:styleId="2">
    <w:name w:val="正文2"/>
    <w:autoRedefine/>
    <w:qFormat/>
    <w:rPr>
      <w:rFonts w:ascii="Calibri" w:eastAsia="DengXian" w:hAnsi="Calibri"/>
      <w:sz w:val="24"/>
      <w:szCs w:val="24"/>
      <w:lang w:val="en-US" w:eastAsia="zh-CN"/>
    </w:rPr>
  </w:style>
  <w:style w:type="paragraph" w:styleId="Listaszerbekezds">
    <w:name w:val="List Paragraph"/>
    <w:basedOn w:val="Norml"/>
    <w:autoRedefine/>
    <w:uiPriority w:val="34"/>
    <w:qFormat/>
    <w:pPr>
      <w:ind w:left="720"/>
      <w:contextualSpacing/>
    </w:pPr>
  </w:style>
  <w:style w:type="character" w:styleId="Feloldatlanmegemlts">
    <w:name w:val="Unresolved Mention"/>
    <w:basedOn w:val="Bekezdsalapbettpusa"/>
    <w:uiPriority w:val="99"/>
    <w:semiHidden/>
    <w:unhideWhenUsed/>
    <w:rsid w:val="009D3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509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s://doi.org/10.1556/2006.2024.00023"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AF67FED7-D9DC-4899-8C50-0537221A359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1433</Words>
  <Characters>17894</Characters>
  <Application>Microsoft Office Word</Application>
  <DocSecurity>0</DocSecurity>
  <Lines>149</Lines>
  <Paragraphs>38</Paragraphs>
  <ScaleCrop>false</ScaleCrop>
  <Company/>
  <LinksUpToDate>false</LinksUpToDate>
  <CharactersWithSpaces>19289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c:creator>
  <cp:lastModifiedBy>Kriston,  Orsolya</cp:lastModifiedBy>
  <cp:revision>8</cp:revision>
  <dcterms:created xsi:type="dcterms:W3CDTF">2023-09-19T13:41:00Z</dcterms:created>
  <dcterms:modified xsi:type="dcterms:W3CDTF">2024-04-03T10:17:00Z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9C056DA08E6641BF9346932C2BD838D7_12</vt:lpwstr>
  </property>
  <property fmtid="{D5CDD505-2E9C-101B-9397-08002B2CF9AE}" pid="4" name="Mendeley Document_1">
    <vt:lpwstr>True</vt:lpwstr>
  </property>
  <property fmtid="{D5CDD505-2E9C-101B-9397-08002B2CF9AE}" pid="5" name="Mendeley Unique User Id_1">
    <vt:lpwstr>75ab7e09-d33d-3cab-a5b4-9b9e075b5f65</vt:lpwstr>
  </property>
  <property fmtid="{D5CDD505-2E9C-101B-9397-08002B2CF9AE}" pid="6" name="Mendeley Citation Style_1">
    <vt:lpwstr>http://www.zotero.org/styles/translational-psychiatry</vt:lpwstr>
  </property>
  <property fmtid="{D5CDD505-2E9C-101B-9397-08002B2CF9AE}" pid="7" name="Mendeley Recent Style Id 0_1">
    <vt:lpwstr>http://www.zotero.org/styles/apa</vt:lpwstr>
  </property>
  <property fmtid="{D5CDD505-2E9C-101B-9397-08002B2CF9AE}" pid="8" name="Mendeley Recent Style Name 0_1">
    <vt:lpwstr>American Psychological Association 7th edition</vt:lpwstr>
  </property>
  <property fmtid="{D5CDD505-2E9C-101B-9397-08002B2CF9AE}" pid="9" name="Mendeley Recent Style Id 1_1">
    <vt:lpwstr>http://www.zotero.org/styles/american-sociological-association</vt:lpwstr>
  </property>
  <property fmtid="{D5CDD505-2E9C-101B-9397-08002B2CF9AE}" pid="10" name="Mendeley Recent Style Name 1_1">
    <vt:lpwstr>American Sociological Association 6th edition</vt:lpwstr>
  </property>
  <property fmtid="{D5CDD505-2E9C-101B-9397-08002B2CF9AE}" pid="11" name="Mendeley Recent Style Id 2_1">
    <vt:lpwstr>http://www.zotero.org/styles/biological-psychiatry</vt:lpwstr>
  </property>
  <property fmtid="{D5CDD505-2E9C-101B-9397-08002B2CF9AE}" pid="12" name="Mendeley Recent Style Name 2_1">
    <vt:lpwstr>Biological Psychiatry</vt:lpwstr>
  </property>
  <property fmtid="{D5CDD505-2E9C-101B-9397-08002B2CF9AE}" pid="13" name="Mendeley Recent Style Id 3_1">
    <vt:lpwstr>http://www.zotero.org/styles/harvard-cite-them-right</vt:lpwstr>
  </property>
  <property fmtid="{D5CDD505-2E9C-101B-9397-08002B2CF9AE}" pid="14" name="Mendeley Recent Style Name 3_1">
    <vt:lpwstr>Cite Them Right 10th edition - Harvard</vt:lpwstr>
  </property>
  <property fmtid="{D5CDD505-2E9C-101B-9397-08002B2CF9AE}" pid="15" name="Mendeley Recent Style Id 4_1">
    <vt:lpwstr>http://www.zotero.org/styles/ieee</vt:lpwstr>
  </property>
  <property fmtid="{D5CDD505-2E9C-101B-9397-08002B2CF9AE}" pid="16" name="Mendeley Recent Style Name 4_1">
    <vt:lpwstr>IEEE</vt:lpwstr>
  </property>
  <property fmtid="{D5CDD505-2E9C-101B-9397-08002B2CF9AE}" pid="17" name="Mendeley Recent Style Id 5_1">
    <vt:lpwstr>http://www.zotero.org/styles/modern-humanities-research-association</vt:lpwstr>
  </property>
  <property fmtid="{D5CDD505-2E9C-101B-9397-08002B2CF9AE}" pid="18" name="Mendeley Recent Style Name 5_1">
    <vt:lpwstr>Modern Humanities Research Association 3rd edition (note with bibliography)</vt:lpwstr>
  </property>
  <property fmtid="{D5CDD505-2E9C-101B-9397-08002B2CF9AE}" pid="19" name="Mendeley Recent Style Id 6_1">
    <vt:lpwstr>http://www.zotero.org/styles/modern-language-association</vt:lpwstr>
  </property>
  <property fmtid="{D5CDD505-2E9C-101B-9397-08002B2CF9AE}" pid="20" name="Mendeley Recent Style Name 6_1">
    <vt:lpwstr>Modern Language Association 8th edition</vt:lpwstr>
  </property>
  <property fmtid="{D5CDD505-2E9C-101B-9397-08002B2CF9AE}" pid="21" name="Mendeley Recent Style Id 7_1">
    <vt:lpwstr>http://www.zotero.org/styles/nature</vt:lpwstr>
  </property>
  <property fmtid="{D5CDD505-2E9C-101B-9397-08002B2CF9AE}" pid="22" name="Mendeley Recent Style Name 7_1">
    <vt:lpwstr>Nature</vt:lpwstr>
  </property>
  <property fmtid="{D5CDD505-2E9C-101B-9397-08002B2CF9AE}" pid="23" name="Mendeley Recent Style Id 8_1">
    <vt:lpwstr>http://www.zotero.org/styles/neuroimage</vt:lpwstr>
  </property>
  <property fmtid="{D5CDD505-2E9C-101B-9397-08002B2CF9AE}" pid="24" name="Mendeley Recent Style Name 8_1">
    <vt:lpwstr>NeuroImage</vt:lpwstr>
  </property>
  <property fmtid="{D5CDD505-2E9C-101B-9397-08002B2CF9AE}" pid="25" name="Mendeley Recent Style Id 9_1">
    <vt:lpwstr>http://www.zotero.org/styles/translational-psychiatry</vt:lpwstr>
  </property>
  <property fmtid="{D5CDD505-2E9C-101B-9397-08002B2CF9AE}" pid="26" name="Mendeley Recent Style Name 9_1">
    <vt:lpwstr>Translational Psychiatry</vt:lpwstr>
  </property>
</Properties>
</file>